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9A" w:rsidRPr="005D6196" w:rsidRDefault="003D459A" w:rsidP="003D459A">
      <w:pPr>
        <w:jc w:val="center"/>
        <w:rPr>
          <w:rFonts w:ascii="Arial" w:hAnsi="Arial" w:cs="Arial"/>
          <w:b/>
          <w:sz w:val="28"/>
          <w:szCs w:val="28"/>
        </w:rPr>
      </w:pPr>
      <w:r w:rsidRPr="005D6196">
        <w:rPr>
          <w:rFonts w:ascii="Arial" w:hAnsi="Arial" w:cs="Arial"/>
          <w:b/>
          <w:sz w:val="28"/>
          <w:szCs w:val="28"/>
        </w:rPr>
        <w:t>SOCIAL ACTIVITY METHOD: A FRACTAL LANGUAGE FOR MATHEMATICS</w:t>
      </w:r>
      <w:r w:rsidR="00261CCA" w:rsidRPr="005D6196">
        <w:rPr>
          <w:rFonts w:ascii="Arial" w:hAnsi="Arial" w:cs="Arial"/>
          <w:b/>
          <w:sz w:val="28"/>
          <w:szCs w:val="28"/>
          <w:vertAlign w:val="superscript"/>
        </w:rPr>
        <w:footnoteReference w:id="1"/>
      </w:r>
    </w:p>
    <w:p w:rsidR="003D459A" w:rsidRPr="005D6196" w:rsidRDefault="003D459A" w:rsidP="003D459A"/>
    <w:p w:rsidR="003D459A" w:rsidRPr="005D6196" w:rsidRDefault="003D459A" w:rsidP="003D459A"/>
    <w:p w:rsidR="000F2FD7" w:rsidRPr="005D6196" w:rsidRDefault="000F2FD7" w:rsidP="003F3138">
      <w:pPr>
        <w:jc w:val="center"/>
        <w:rPr>
          <w:rFonts w:ascii="Arial" w:hAnsi="Arial" w:cs="Arial"/>
          <w:b/>
          <w:sz w:val="28"/>
          <w:szCs w:val="28"/>
        </w:rPr>
      </w:pPr>
      <w:r w:rsidRPr="005D6196">
        <w:rPr>
          <w:rFonts w:ascii="Arial" w:hAnsi="Arial" w:cs="Arial"/>
          <w:b/>
          <w:sz w:val="28"/>
          <w:szCs w:val="28"/>
        </w:rPr>
        <w:t>Paul Dowling</w:t>
      </w:r>
    </w:p>
    <w:p w:rsidR="000F2FD7" w:rsidRPr="005D6196" w:rsidRDefault="00632A77" w:rsidP="003F3138">
      <w:pPr>
        <w:jc w:val="center"/>
        <w:rPr>
          <w:rFonts w:ascii="Arial" w:hAnsi="Arial" w:cs="Arial"/>
        </w:rPr>
      </w:pPr>
      <w:r w:rsidRPr="005D6196">
        <w:rPr>
          <w:rFonts w:ascii="Arial" w:hAnsi="Arial" w:cs="Arial"/>
        </w:rPr>
        <w:t>UCL Institute of Education, University College London</w:t>
      </w:r>
    </w:p>
    <w:p w:rsidR="003D459A" w:rsidRPr="005D6196" w:rsidRDefault="00D4160A" w:rsidP="003F3138">
      <w:pPr>
        <w:jc w:val="center"/>
        <w:rPr>
          <w:rFonts w:ascii="Arial" w:hAnsi="Arial" w:cs="Arial"/>
        </w:rPr>
      </w:pPr>
      <w:hyperlink r:id="rId7" w:history="1">
        <w:r w:rsidR="003D459A" w:rsidRPr="005D6196">
          <w:rPr>
            <w:rFonts w:ascii="Arial" w:hAnsi="Arial" w:cs="Arial"/>
          </w:rPr>
          <w:t>p.dowling</w:t>
        </w:r>
        <w:r w:rsidR="005D6196" w:rsidRPr="005D6196">
          <w:rPr>
            <w:rFonts w:ascii="Arial" w:hAnsi="Arial" w:cs="Arial"/>
          </w:rPr>
          <w:t xml:space="preserve"> </w:t>
        </w:r>
        <w:r w:rsidR="003D459A" w:rsidRPr="005D6196">
          <w:rPr>
            <w:rFonts w:ascii="Arial" w:hAnsi="Arial" w:cs="Arial"/>
          </w:rPr>
          <w:t>@</w:t>
        </w:r>
        <w:r w:rsidR="005D6196" w:rsidRPr="005D6196">
          <w:rPr>
            <w:rFonts w:ascii="Arial" w:hAnsi="Arial" w:cs="Arial"/>
          </w:rPr>
          <w:t xml:space="preserve"> </w:t>
        </w:r>
        <w:r w:rsidR="003D459A" w:rsidRPr="005D6196">
          <w:rPr>
            <w:rFonts w:ascii="Arial" w:hAnsi="Arial" w:cs="Arial"/>
          </w:rPr>
          <w:t>ioe.ac.uk</w:t>
        </w:r>
      </w:hyperlink>
    </w:p>
    <w:p w:rsidR="000F2FD7" w:rsidRPr="005D6196" w:rsidRDefault="000F2FD7" w:rsidP="000F2FD7"/>
    <w:p w:rsidR="00D35467" w:rsidRPr="005D6196" w:rsidRDefault="00D35467" w:rsidP="003F3138">
      <w:pPr>
        <w:jc w:val="center"/>
        <w:rPr>
          <w:i/>
          <w:sz w:val="28"/>
          <w:szCs w:val="28"/>
        </w:rPr>
      </w:pPr>
      <w:r w:rsidRPr="005D6196">
        <w:rPr>
          <w:i/>
          <w:sz w:val="28"/>
          <w:szCs w:val="28"/>
        </w:rPr>
        <w:t>Abstract</w:t>
      </w:r>
    </w:p>
    <w:p w:rsidR="007412AE" w:rsidRPr="005D6196" w:rsidRDefault="004C40EE" w:rsidP="004C40EE">
      <w:pPr>
        <w:rPr>
          <w:rFonts w:cs="Times New Roman"/>
        </w:rPr>
      </w:pPr>
      <w:r w:rsidRPr="005D6196">
        <w:rPr>
          <w:rFonts w:cs="Times New Roman"/>
        </w:rPr>
        <w:t xml:space="preserve">In this paper I shall present and develop my organisational language, </w:t>
      </w:r>
      <w:r w:rsidRPr="005D6196">
        <w:rPr>
          <w:rFonts w:cs="Times New Roman"/>
          <w:i/>
        </w:rPr>
        <w:t>social activity method</w:t>
      </w:r>
      <w:r w:rsidRPr="005D6196">
        <w:rPr>
          <w:rFonts w:cs="Times New Roman"/>
        </w:rPr>
        <w:t xml:space="preserve"> (SAM) and illustrate some of its applications. I shall introduce a new scheme for </w:t>
      </w:r>
      <w:r w:rsidRPr="005D6196">
        <w:rPr>
          <w:rFonts w:cs="Times New Roman"/>
          <w:i/>
        </w:rPr>
        <w:t>modes of recontextualisation</w:t>
      </w:r>
      <w:r w:rsidRPr="005D6196">
        <w:rPr>
          <w:rFonts w:cs="Times New Roman"/>
        </w:rPr>
        <w:t xml:space="preserve"> that enables the analysis of the ways in which one activity—which might be school mathematics or social research or any empirically observed regularity of practice—recontextualises the practice of another and I shall also present, deploy and develop an existing scheme—</w:t>
      </w:r>
      <w:r w:rsidRPr="005D6196">
        <w:rPr>
          <w:rFonts w:cs="Times New Roman"/>
          <w:i/>
        </w:rPr>
        <w:t>domains of action</w:t>
      </w:r>
      <w:r w:rsidRPr="005D6196">
        <w:rPr>
          <w:rFonts w:cs="Times New Roman"/>
        </w:rPr>
        <w:t xml:space="preserve">—in an analysis of school mathematics examination papers and in the structuring of what I refer to as the </w:t>
      </w:r>
      <w:r w:rsidRPr="005D6196">
        <w:rPr>
          <w:rFonts w:cs="Times New Roman"/>
          <w:i/>
        </w:rPr>
        <w:t>esoteric domain</w:t>
      </w:r>
      <w:r w:rsidRPr="005D6196">
        <w:rPr>
          <w:rFonts w:cs="Times New Roman"/>
        </w:rPr>
        <w:t xml:space="preserve">. This domain is here conceived as a hybrid domain of, firstly, linguistic and extralinguistic resources that are unambiguously mathematical in terms of both expression and content and, secondly, pedagogic theory—often tacit—that enables the mathematical gaze onto </w:t>
      </w:r>
      <w:r w:rsidR="006C5D4F" w:rsidRPr="005D6196">
        <w:rPr>
          <w:rFonts w:cs="Times New Roman"/>
        </w:rPr>
        <w:t xml:space="preserve">other practices </w:t>
      </w:r>
      <w:r w:rsidRPr="005D6196">
        <w:rPr>
          <w:rFonts w:cs="Times New Roman"/>
        </w:rPr>
        <w:t>and so recontextualis</w:t>
      </w:r>
      <w:r w:rsidR="006C5D4F" w:rsidRPr="005D6196">
        <w:rPr>
          <w:rFonts w:cs="Times New Roman"/>
        </w:rPr>
        <w:t>es them</w:t>
      </w:r>
      <w:r w:rsidRPr="005D6196">
        <w:rPr>
          <w:rFonts w:cs="Times New Roman"/>
        </w:rPr>
        <w:t xml:space="preserve">. </w:t>
      </w:r>
    </w:p>
    <w:p w:rsidR="004C40EE" w:rsidRPr="005D6196" w:rsidRDefault="004C40EE" w:rsidP="007D3E22">
      <w:pPr>
        <w:ind w:firstLine="567"/>
        <w:rPr>
          <w:rFonts w:cs="Times New Roman"/>
        </w:rPr>
      </w:pPr>
      <w:r w:rsidRPr="005D6196">
        <w:rPr>
          <w:rFonts w:cs="Times New Roman"/>
        </w:rPr>
        <w:t>A second and more general theme that runs through the paper is the claim that there is nothing that is beyond semiosis, that there is nothing to which we have direct access, unmediated by interpretation. This state of affairs has implications for mathematics education. Specifically, insofar as an individual’s mathematical semiotic system is under continuous development—the curriculum never being graspable all at once—understanding—as a stable semiotic moment—of any aspect or object of mathematics is always localised to the individual and is at best transient</w:t>
      </w:r>
      <w:r w:rsidR="00D96957" w:rsidRPr="005D6196">
        <w:rPr>
          <w:rFonts w:cs="Times New Roman"/>
        </w:rPr>
        <w:t xml:space="preserve"> and the sequencing of such moments may well also be more individualised than consistent in some correspondence with the sequencing of the curriculum</w:t>
      </w:r>
      <w:r w:rsidRPr="005D6196">
        <w:rPr>
          <w:rFonts w:cs="Times New Roman"/>
        </w:rPr>
        <w:t xml:space="preserve">. </w:t>
      </w:r>
      <w:proofErr w:type="gramStart"/>
      <w:r w:rsidRPr="005D6196">
        <w:rPr>
          <w:rFonts w:cs="Times New Roman"/>
        </w:rPr>
        <w:t>This being the case, a concentration on understanding as a goal may well serve</w:t>
      </w:r>
      <w:proofErr w:type="gramEnd"/>
      <w:r w:rsidRPr="005D6196">
        <w:rPr>
          <w:rFonts w:cs="Times New Roman"/>
        </w:rPr>
        <w:t xml:space="preserve"> to inhibit the pragmatic acquisition and deployment of mathematical technologies, which should be the principal aim of mathematics teaching and learning.</w:t>
      </w:r>
    </w:p>
    <w:p w:rsidR="00822A1D" w:rsidRPr="005D6196" w:rsidRDefault="00822A1D" w:rsidP="007D3E22">
      <w:pPr>
        <w:ind w:firstLine="567"/>
        <w:rPr>
          <w:rFonts w:cs="Times New Roman"/>
        </w:rPr>
      </w:pPr>
      <w:r w:rsidRPr="005D6196">
        <w:rPr>
          <w:rFonts w:cs="Times New Roman"/>
        </w:rPr>
        <w:t>The paper is primarily concerned with mathematics education. SAM, however, is a language that is available for recruiting and deploying in potentially any</w:t>
      </w:r>
      <w:r w:rsidR="00807C77" w:rsidRPr="005D6196">
        <w:rPr>
          <w:rFonts w:cs="Times New Roman"/>
        </w:rPr>
        <w:t xml:space="preserve"> context as I have attempted to illustrate with some of the </w:t>
      </w:r>
      <w:r w:rsidR="007412AE" w:rsidRPr="005D6196">
        <w:rPr>
          <w:rFonts w:cs="Times New Roman"/>
        </w:rPr>
        <w:t>secondary</w:t>
      </w:r>
      <w:r w:rsidR="00807C77" w:rsidRPr="005D6196">
        <w:rPr>
          <w:rFonts w:cs="Times New Roman"/>
        </w:rPr>
        <w:t xml:space="preserve"> illustrations in the text.</w:t>
      </w:r>
    </w:p>
    <w:p w:rsidR="00E90D5E" w:rsidRPr="005D6196" w:rsidRDefault="00E90D5E" w:rsidP="00D35467"/>
    <w:p w:rsidR="00C53AF5" w:rsidRPr="005D6196" w:rsidRDefault="00E90D5E" w:rsidP="00C53AF5">
      <w:r w:rsidRPr="005D6196">
        <w:rPr>
          <w:i/>
          <w:sz w:val="28"/>
          <w:szCs w:val="28"/>
        </w:rPr>
        <w:t>Key Words</w:t>
      </w:r>
      <w:r w:rsidR="003F3138" w:rsidRPr="005D6196">
        <w:rPr>
          <w:i/>
          <w:sz w:val="28"/>
          <w:szCs w:val="28"/>
        </w:rPr>
        <w:t xml:space="preserve">: </w:t>
      </w:r>
      <w:r w:rsidR="00C53AF5" w:rsidRPr="005D6196">
        <w:t xml:space="preserve">sociology, social activity method, discursive saturation, </w:t>
      </w:r>
      <w:r w:rsidR="003A1B80" w:rsidRPr="005D6196">
        <w:t xml:space="preserve">esoteric domain, </w:t>
      </w:r>
      <w:r w:rsidR="00C53AF5" w:rsidRPr="005D6196">
        <w:t>recontextualisation.</w:t>
      </w:r>
    </w:p>
    <w:p w:rsidR="00D35467" w:rsidRPr="005D6196" w:rsidRDefault="00D35467" w:rsidP="003A473A">
      <w:pPr>
        <w:ind w:left="567"/>
        <w:rPr>
          <w:i/>
          <w:sz w:val="28"/>
          <w:szCs w:val="28"/>
        </w:rPr>
      </w:pPr>
    </w:p>
    <w:p w:rsidR="003A473A" w:rsidRPr="005D6196" w:rsidRDefault="003A473A" w:rsidP="00261CCA">
      <w:pPr>
        <w:keepNext/>
        <w:ind w:left="567"/>
        <w:rPr>
          <w:i/>
          <w:sz w:val="28"/>
          <w:szCs w:val="28"/>
        </w:rPr>
      </w:pPr>
      <w:r w:rsidRPr="005D6196">
        <w:rPr>
          <w:i/>
          <w:sz w:val="28"/>
          <w:szCs w:val="28"/>
        </w:rPr>
        <w:t>Forensics and the myth of reference</w:t>
      </w:r>
    </w:p>
    <w:p w:rsidR="003A473A" w:rsidRPr="005D6196" w:rsidRDefault="003A473A" w:rsidP="00261CCA">
      <w:pPr>
        <w:keepNext/>
      </w:pPr>
    </w:p>
    <w:p w:rsidR="000F2FD7" w:rsidRPr="005D6196" w:rsidRDefault="00553C07" w:rsidP="00261CCA">
      <w:pPr>
        <w:keepNext/>
      </w:pPr>
      <w:r w:rsidRPr="005D6196">
        <w:t xml:space="preserve">There is a marked tendency in social and educational research to promote what I have called the </w:t>
      </w:r>
      <w:r w:rsidRPr="005D6196">
        <w:rPr>
          <w:i/>
        </w:rPr>
        <w:t>myth of reference</w:t>
      </w:r>
      <w:r w:rsidRPr="005D6196">
        <w:t xml:space="preserve"> (Dowling, 1998), which is to say, to present itself as if it </w:t>
      </w:r>
      <w:r w:rsidRPr="005D6196">
        <w:lastRenderedPageBreak/>
        <w:t>were about something other than itself, as if the language of the research</w:t>
      </w:r>
      <w:r w:rsidR="000007AE" w:rsidRPr="005D6196">
        <w:t xml:space="preserve"> represents objects and acti</w:t>
      </w:r>
      <w:r w:rsidR="0071342B" w:rsidRPr="005D6196">
        <w:t>vities that the research has un</w:t>
      </w:r>
      <w:r w:rsidR="000007AE" w:rsidRPr="005D6196">
        <w:t>covered, but that, in principle, are accessible to all of us.</w:t>
      </w:r>
      <w:r w:rsidR="00307B56" w:rsidRPr="005D6196">
        <w:t xml:space="preserve"> Having represented the world, the mechanisms articulating the representation are </w:t>
      </w:r>
      <w:r w:rsidR="00307B56" w:rsidRPr="005D6196">
        <w:rPr>
          <w:i/>
        </w:rPr>
        <w:t>pushed</w:t>
      </w:r>
      <w:r w:rsidR="00307B56" w:rsidRPr="005D6196">
        <w:t xml:space="preserve"> into the represented world and represented as causal structures. I call this </w:t>
      </w:r>
      <w:r w:rsidR="00307B56" w:rsidRPr="005D6196">
        <w:rPr>
          <w:i/>
        </w:rPr>
        <w:t>forensics</w:t>
      </w:r>
      <w:r w:rsidR="00307B56" w:rsidRPr="005D6196">
        <w:t xml:space="preserve"> (Dowling, 2009). T</w:t>
      </w:r>
      <w:r w:rsidR="000007AE" w:rsidRPr="005D6196">
        <w:t xml:space="preserve">he research game </w:t>
      </w:r>
      <w:r w:rsidR="00307B56" w:rsidRPr="005D6196">
        <w:t>proceeds as</w:t>
      </w:r>
      <w:r w:rsidR="000007AE" w:rsidRPr="005D6196">
        <w:t xml:space="preserve"> a wrestle over which language constitutes the best representation</w:t>
      </w:r>
      <w:r w:rsidR="00307B56" w:rsidRPr="005D6196">
        <w:t>, which structures the most deserving causes</w:t>
      </w:r>
      <w:r w:rsidR="008F5BB2" w:rsidRPr="005D6196">
        <w:t xml:space="preserve">. I </w:t>
      </w:r>
      <w:r w:rsidR="001F163B" w:rsidRPr="005D6196">
        <w:t>want to take a different tack. T</w:t>
      </w:r>
      <w:r w:rsidR="008F5BB2" w:rsidRPr="005D6196">
        <w:t>his paper presents an organisational language—SAM—that is about itself</w:t>
      </w:r>
      <w:r w:rsidR="008111D0" w:rsidRPr="005D6196">
        <w:t xml:space="preserve">. This is achieved within a general approach that I refer to as </w:t>
      </w:r>
      <w:r w:rsidR="008111D0" w:rsidRPr="005D6196">
        <w:rPr>
          <w:i/>
        </w:rPr>
        <w:t>constructive description</w:t>
      </w:r>
      <w:r w:rsidR="008111D0" w:rsidRPr="005D6196">
        <w:t xml:space="preserve"> (Dowling, 1998, 2009) on which a little more </w:t>
      </w:r>
      <w:proofErr w:type="gramStart"/>
      <w:r w:rsidR="008111D0" w:rsidRPr="005D6196">
        <w:t>later</w:t>
      </w:r>
      <w:proofErr w:type="gramEnd"/>
      <w:r w:rsidR="008F5BB2" w:rsidRPr="005D6196">
        <w:t xml:space="preserve">. Having announced this, I need to address two urgent issues. Firstly, I do not mean to claim (or even aspire to) solipsism. I must establish an exteriority, which I shall refer to as the empirical setting (Dowling &amp; Brown, 2010). I will name the setting ‘knowledge’, for the time being. This minimal detail is sufficient to give me a bearing on what lies beyond my constructions. The outcome of my engagement with the setting, however, is not a representation, but a recontextualisation so that, </w:t>
      </w:r>
      <w:r w:rsidR="00FE2DC2" w:rsidRPr="005D6196">
        <w:t xml:space="preserve">ultimately, </w:t>
      </w:r>
      <w:r w:rsidR="00307B56" w:rsidRPr="005D6196">
        <w:t>‘</w:t>
      </w:r>
      <w:r w:rsidR="00FE2DC2" w:rsidRPr="005D6196">
        <w:t>knowledge</w:t>
      </w:r>
      <w:r w:rsidR="00307B56" w:rsidRPr="005D6196">
        <w:t>’</w:t>
      </w:r>
      <w:r w:rsidR="00FE2DC2" w:rsidRPr="005D6196">
        <w:t xml:space="preserve"> becomes incorporated into</w:t>
      </w:r>
      <w:r w:rsidR="008F5BB2" w:rsidRPr="005D6196">
        <w:t xml:space="preserve"> my language.</w:t>
      </w:r>
    </w:p>
    <w:p w:rsidR="008F5BB2" w:rsidRPr="005D6196" w:rsidRDefault="008F5BB2" w:rsidP="008F5BB2">
      <w:pPr>
        <w:ind w:firstLine="567"/>
      </w:pPr>
      <w:r w:rsidRPr="005D6196">
        <w:t>Secondly, I must explain the significance</w:t>
      </w:r>
      <w:r w:rsidR="00FE2DC2" w:rsidRPr="005D6196">
        <w:t xml:space="preserve"> of the term</w:t>
      </w:r>
      <w:r w:rsidRPr="005D6196">
        <w:t xml:space="preserve"> ‘for’ in my title</w:t>
      </w:r>
      <w:r w:rsidR="00CA3EAA" w:rsidRPr="005D6196">
        <w:t>, because it may seem to signal a dualism that I appear to be denying. There is, however, no denial. Mathematics may be said, here, to stand for my audience; then ‘for’ constitutes my language as a gift, the value of which is to be determined by that audience in pragmatic terms</w:t>
      </w:r>
      <w:r w:rsidR="00D85868" w:rsidRPr="005D6196">
        <w:t xml:space="preserve"> (and here Rorty (1989) and Schön (1987) and perhaps Carr &amp; Kemmis (1986) are inspirational)</w:t>
      </w:r>
      <w:r w:rsidR="00CA3EAA" w:rsidRPr="005D6196">
        <w:t xml:space="preserve">: is it useful? </w:t>
      </w:r>
      <w:r w:rsidR="00B77FBF" w:rsidRPr="005D6196">
        <w:t xml:space="preserve">If it is useful, then it might be </w:t>
      </w:r>
      <w:r w:rsidR="00B77FBF" w:rsidRPr="005D6196">
        <w:rPr>
          <w:i/>
        </w:rPr>
        <w:t>fetched</w:t>
      </w:r>
      <w:r w:rsidR="00B77FBF" w:rsidRPr="005D6196">
        <w:t xml:space="preserve"> into mathematical practice, which move will entail another recontextualisation. </w:t>
      </w:r>
      <w:r w:rsidR="00CA3EAA" w:rsidRPr="005D6196">
        <w:t xml:space="preserve">Naturally, I shall attempt to market the language by offering some illustrations of </w:t>
      </w:r>
      <w:r w:rsidR="00B77FBF" w:rsidRPr="005D6196">
        <w:t>SAM’s</w:t>
      </w:r>
      <w:r w:rsidR="00CA3EAA" w:rsidRPr="005D6196">
        <w:t xml:space="preserve"> use.</w:t>
      </w:r>
    </w:p>
    <w:p w:rsidR="00566CC7" w:rsidRPr="005D6196" w:rsidRDefault="00566CC7" w:rsidP="008F5BB2">
      <w:pPr>
        <w:ind w:firstLine="567"/>
      </w:pPr>
      <w:r w:rsidRPr="005D6196">
        <w:t>A</w:t>
      </w:r>
      <w:r w:rsidR="00734365" w:rsidRPr="005D6196">
        <w:t xml:space="preserve"> second and</w:t>
      </w:r>
      <w:r w:rsidRPr="005D6196">
        <w:t xml:space="preserve"> associated tendency in educational research is the totalising of the represented in conformity with the representation. Here is Basil Bernstein on mathematics</w:t>
      </w:r>
      <w:r w:rsidR="00F1218B" w:rsidRPr="005D6196">
        <w:t xml:space="preserve"> and other knowledge structures</w:t>
      </w:r>
      <w:r w:rsidRPr="005D6196">
        <w:t>:</w:t>
      </w:r>
    </w:p>
    <w:p w:rsidR="00F1218B" w:rsidRPr="005D6196" w:rsidRDefault="00F1218B" w:rsidP="00F1218B">
      <w:pPr>
        <w:pStyle w:val="Quote"/>
      </w:pPr>
    </w:p>
    <w:p w:rsidR="00F1218B" w:rsidRPr="005D6196" w:rsidRDefault="00F1218B" w:rsidP="009B58FF">
      <w:pPr>
        <w:pStyle w:val="Quote"/>
        <w:keepLines/>
      </w:pPr>
      <w:r w:rsidRPr="005D6196">
        <w:t xml:space="preserve">It might be useful here to make a distinction within horizontal knowledge structures, distinguishing those whose languages have an explicit conceptual syntax capable of ‘relatively’ </w:t>
      </w:r>
      <w:bookmarkStart w:id="1" w:name="OLE_LINK5"/>
      <w:bookmarkStart w:id="2" w:name="OLE_LINK6"/>
      <w:r w:rsidRPr="005D6196">
        <w:t>precise empirical descriptions and/or of generating formal modeling of empirical relations</w:t>
      </w:r>
      <w:bookmarkEnd w:id="1"/>
      <w:bookmarkEnd w:id="2"/>
      <w:r w:rsidRPr="005D6196">
        <w:t>, from those languages where these powers are much weaker. The former I will call strong grammars and the latter weak grammars. It is important to add here that ‘strong’ and ‘weak’ must be understood as relative within horizontal knowledge structures. From this point of view, economics, linguistics and parts of psychology would be examples of strong grammar. Mathematics would also be considered a horizontal knowledge structure as it consists of a set of discrete languages, for particular problems. Thus, mathematics and logic would be regarded as possessing the strongest grammers [sic], although these languages, for the most part, do not have empirical referents nor are they designed to satisfy empirical criteria. Examples of weak grammars would be sociology, social anthropology, and cultural studies.</w:t>
      </w:r>
    </w:p>
    <w:p w:rsidR="00F1218B" w:rsidRPr="005D6196" w:rsidRDefault="00756D43" w:rsidP="009B58FF">
      <w:pPr>
        <w:pStyle w:val="Quote"/>
        <w:keepLines/>
        <w:jc w:val="right"/>
      </w:pPr>
      <w:r w:rsidRPr="005D6196">
        <w:t xml:space="preserve">(Bernstein, 1999; </w:t>
      </w:r>
      <w:r w:rsidR="00F1218B" w:rsidRPr="005D6196">
        <w:t>164)</w:t>
      </w:r>
    </w:p>
    <w:p w:rsidR="009B58FF" w:rsidRPr="005D6196" w:rsidRDefault="009B58FF" w:rsidP="009B58FF"/>
    <w:p w:rsidR="00F1218B" w:rsidRPr="005D6196" w:rsidRDefault="00756D43" w:rsidP="007D3E22">
      <w:pPr>
        <w:widowControl w:val="0"/>
        <w:autoSpaceDE w:val="0"/>
        <w:autoSpaceDN w:val="0"/>
        <w:adjustRightInd w:val="0"/>
        <w:spacing w:after="240"/>
      </w:pPr>
      <w:r w:rsidRPr="005D6196">
        <w:t>The two characteristics of mathematics are</w:t>
      </w:r>
      <w:r w:rsidR="00C53AF5" w:rsidRPr="005D6196">
        <w:t>,</w:t>
      </w:r>
      <w:r w:rsidRPr="005D6196">
        <w:t xml:space="preserve"> </w:t>
      </w:r>
      <w:r w:rsidR="00485506" w:rsidRPr="005D6196">
        <w:t>first</w:t>
      </w:r>
      <w:r w:rsidR="00566193" w:rsidRPr="005D6196">
        <w:t xml:space="preserve">, </w:t>
      </w:r>
      <w:r w:rsidRPr="005D6196">
        <w:t>that it is a horizontal knowledge structure</w:t>
      </w:r>
      <w:r w:rsidR="0065559E" w:rsidRPr="005D6196">
        <w:t>, that is, it consists of ‘</w:t>
      </w:r>
      <w:r w:rsidR="0065559E" w:rsidRPr="005D6196">
        <w:rPr>
          <w:rFonts w:ascii="Times" w:hAnsi="Times" w:cs="Times"/>
        </w:rPr>
        <w:t>a series of specialised languages with specialised modes of interrogation and criteria for the construction and circulation of texts</w:t>
      </w:r>
      <w:r w:rsidR="00566193" w:rsidRPr="005D6196">
        <w:rPr>
          <w:rFonts w:ascii="Times" w:hAnsi="Times" w:cs="Times"/>
        </w:rPr>
        <w:t>’ (Bernstein, 1999; 162).</w:t>
      </w:r>
      <w:r w:rsidR="00566193" w:rsidRPr="005D6196">
        <w:t xml:space="preserve"> This contrasts</w:t>
      </w:r>
      <w:r w:rsidRPr="005D6196">
        <w:t xml:space="preserve"> with a hierarchical knowledge structure that ‘takes the form of a coherent, explicit, systematically principled structure, hierarchically organized’ (Bernstein, 1996; 171)</w:t>
      </w:r>
      <w:r w:rsidR="00485506" w:rsidRPr="005D6196">
        <w:t>. Second</w:t>
      </w:r>
      <w:r w:rsidR="00967152" w:rsidRPr="005D6196">
        <w:t>, mathematics</w:t>
      </w:r>
      <w:r w:rsidRPr="005D6196">
        <w:t xml:space="preserve"> has a strong grammar, although it is not entirely clear what the latter means given that it is defined</w:t>
      </w:r>
      <w:r w:rsidR="008D211E" w:rsidRPr="005D6196">
        <w:t xml:space="preserve"> above in relation to the precision of empirical descriptions, whilst mathematics itself is denied empirical referents. I shall </w:t>
      </w:r>
      <w:r w:rsidR="00846510" w:rsidRPr="005D6196">
        <w:t xml:space="preserve">return to this later. Meanwhile, here is Raymond </w:t>
      </w:r>
      <w:r w:rsidR="00846510" w:rsidRPr="005D6196">
        <w:lastRenderedPageBreak/>
        <w:t>Duval distinguishing between mathematics and ‘other domains of scientific knowledge’, totalising both:</w:t>
      </w:r>
    </w:p>
    <w:p w:rsidR="00846510" w:rsidRPr="005D6196" w:rsidRDefault="00846510" w:rsidP="00846510">
      <w:pPr>
        <w:ind w:left="567" w:right="545"/>
        <w:rPr>
          <w:rFonts w:cs="Times New Roman"/>
          <w:sz w:val="20"/>
        </w:rPr>
      </w:pPr>
    </w:p>
    <w:p w:rsidR="00846510" w:rsidRPr="005D6196" w:rsidRDefault="00846510" w:rsidP="00846510">
      <w:pPr>
        <w:ind w:left="567" w:right="545"/>
        <w:rPr>
          <w:rFonts w:cs="Times New Roman"/>
          <w:sz w:val="20"/>
        </w:rPr>
      </w:pPr>
      <w:r w:rsidRPr="005D6196">
        <w:rPr>
          <w:rFonts w:cs="Times New Roman"/>
          <w:sz w:val="20"/>
        </w:rPr>
        <w:t xml:space="preserve">From an epistemological point of view there is a basic difference between mathematics and the other domains of scientific knowledge. Mathematical objects, in contrast to phenomena of astronomy, physics, chemistry, biology, etc., are never accessible by perception or by instruments (microscopes, telescopes, </w:t>
      </w:r>
      <w:proofErr w:type="gramStart"/>
      <w:r w:rsidRPr="005D6196">
        <w:rPr>
          <w:rFonts w:cs="Times New Roman"/>
          <w:sz w:val="20"/>
        </w:rPr>
        <w:t>measurement</w:t>
      </w:r>
      <w:proofErr w:type="gramEnd"/>
      <w:r w:rsidRPr="005D6196">
        <w:rPr>
          <w:rFonts w:cs="Times New Roman"/>
          <w:sz w:val="20"/>
        </w:rPr>
        <w:t xml:space="preserve"> apparatus). The only way to have access to them and deal with them is using signs and semiotic representations. That means that we have here only a single access to the knowledge objects and not a double access, mainly non-semiotic and secondarily semiotic, as is the case in the other areas.</w:t>
      </w:r>
    </w:p>
    <w:p w:rsidR="00846510" w:rsidRPr="005D6196" w:rsidRDefault="00846510" w:rsidP="00846510">
      <w:pPr>
        <w:ind w:left="567" w:right="545"/>
        <w:jc w:val="right"/>
        <w:rPr>
          <w:rFonts w:cs="Times New Roman"/>
          <w:sz w:val="20"/>
        </w:rPr>
      </w:pPr>
      <w:r w:rsidRPr="005D6196">
        <w:rPr>
          <w:rFonts w:cs="Times New Roman"/>
          <w:sz w:val="20"/>
        </w:rPr>
        <w:t>(Duval, 2006; 107)</w:t>
      </w:r>
    </w:p>
    <w:p w:rsidR="00846510" w:rsidRPr="005D6196" w:rsidRDefault="00846510" w:rsidP="00846510"/>
    <w:p w:rsidR="00566CC7" w:rsidRPr="005D6196" w:rsidRDefault="00DF1765" w:rsidP="00DF1765">
      <w:r w:rsidRPr="005D6196">
        <w:t>Further:</w:t>
      </w:r>
    </w:p>
    <w:p w:rsidR="00DF1765" w:rsidRPr="005D6196" w:rsidRDefault="00DF1765" w:rsidP="00DF1765">
      <w:pPr>
        <w:pStyle w:val="Quote"/>
      </w:pPr>
    </w:p>
    <w:p w:rsidR="00DF1765" w:rsidRPr="005D6196" w:rsidRDefault="00DF1765" w:rsidP="00DF1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45"/>
        <w:rPr>
          <w:rFonts w:cs="Times New Roman"/>
          <w:sz w:val="20"/>
        </w:rPr>
      </w:pPr>
      <w:r w:rsidRPr="005D6196">
        <w:rPr>
          <w:rFonts w:cs="Times New Roman"/>
          <w:sz w:val="20"/>
        </w:rPr>
        <w:t>Mathematics is the domain within which we find the largest range of semiotic representation systems, both those common to any kind of thinking such as natural language and those specific to mathematics such as algebraic and formal notations. And that emphasizes the crucial problem of mathematics comprehension for learners. If for any mathematical object we can use quite different kinds of semiotic representation, how can learners recognize the same represented object through semiotic representations that are produced within different representation systems?</w:t>
      </w:r>
    </w:p>
    <w:p w:rsidR="00DF1765" w:rsidRPr="005D6196" w:rsidRDefault="00246D78" w:rsidP="00DF1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545"/>
        <w:jc w:val="right"/>
        <w:rPr>
          <w:rFonts w:cs="Times New Roman"/>
          <w:sz w:val="20"/>
        </w:rPr>
      </w:pPr>
      <w:r w:rsidRPr="005D6196">
        <w:rPr>
          <w:rFonts w:cs="Times New Roman"/>
          <w:sz w:val="20"/>
        </w:rPr>
        <w:t xml:space="preserve"> (Duval, 2006; 108)</w:t>
      </w:r>
    </w:p>
    <w:p w:rsidR="00DF1765" w:rsidRPr="005D6196" w:rsidRDefault="00DF1765" w:rsidP="00DF1765"/>
    <w:p w:rsidR="00246D78" w:rsidRPr="005D6196" w:rsidRDefault="00246D78" w:rsidP="008D478E">
      <w:pPr>
        <w:ind w:firstLine="567"/>
      </w:pPr>
      <w:r w:rsidRPr="005D6196">
        <w:t xml:space="preserve">The second of these extracts illustrates Duval’s </w:t>
      </w:r>
      <w:r w:rsidRPr="005D6196">
        <w:rPr>
          <w:i/>
        </w:rPr>
        <w:t xml:space="preserve">forensic </w:t>
      </w:r>
      <w:r w:rsidRPr="005D6196">
        <w:t>action. Firstly, mathematics is represented as a domain that mediates its objects through multiple semiotic systems</w:t>
      </w:r>
      <w:r w:rsidR="007E3FA4" w:rsidRPr="005D6196">
        <w:t>. T</w:t>
      </w:r>
      <w:r w:rsidRPr="005D6196">
        <w:t xml:space="preserve">his is a structural feature of Duval’s representation that is </w:t>
      </w:r>
      <w:r w:rsidRPr="005D6196">
        <w:rPr>
          <w:i/>
        </w:rPr>
        <w:t>pushed</w:t>
      </w:r>
      <w:r w:rsidRPr="005D6196">
        <w:t xml:space="preserve"> into the empirical as a structural feature of mathematical knowledge. Secondly, this being the case, aspiring acquirers of mathematical knowledge are potentially disabled by this multiplicity.</w:t>
      </w:r>
      <w:r w:rsidR="00FE1E01" w:rsidRPr="005D6196">
        <w:t xml:space="preserve"> Now, adopting my pragmatic principle of evaluation, the forensic nature of the argument may not matter to the extent that the result proves to be useful in mathematics education. Forensic action—the pushing of a representation into a supposedly represented setting—may, however, distract us from the representation itself. </w:t>
      </w:r>
      <w:r w:rsidR="00B240A0" w:rsidRPr="005D6196">
        <w:t>To explain what I mean, I want to return to the first of the Duval extracts in which, in effect, he distinguishes between two modes of knowledge, one of which</w:t>
      </w:r>
      <w:r w:rsidR="007E3FA4" w:rsidRPr="005D6196">
        <w:t xml:space="preserve">—characterising </w:t>
      </w:r>
      <w:r w:rsidR="00B240A0" w:rsidRPr="005D6196">
        <w:t>‘other domains of scientific knowledge’</w:t>
      </w:r>
      <w:r w:rsidR="007E3FA4" w:rsidRPr="005D6196">
        <w:t>—</w:t>
      </w:r>
      <w:r w:rsidR="00B240A0" w:rsidRPr="005D6196">
        <w:t>provides access to its objects either by direct perception or via intermediary technology that does not fun</w:t>
      </w:r>
      <w:r w:rsidR="00245937" w:rsidRPr="005D6196">
        <w:t xml:space="preserve">ction semiotically, that is, </w:t>
      </w:r>
      <w:r w:rsidR="00B240A0" w:rsidRPr="005D6196">
        <w:t>is semiotically inert. The other form of knowledge</w:t>
      </w:r>
      <w:r w:rsidR="007E3FA4" w:rsidRPr="005D6196">
        <w:t>—</w:t>
      </w:r>
      <w:r w:rsidR="00B240A0" w:rsidRPr="005D6196">
        <w:t>mathematics</w:t>
      </w:r>
      <w:r w:rsidR="007E3FA4" w:rsidRPr="005D6196">
        <w:t>—</w:t>
      </w:r>
      <w:r w:rsidR="00B240A0" w:rsidRPr="005D6196">
        <w:t>mediates its objects</w:t>
      </w:r>
      <w:r w:rsidR="0004011C" w:rsidRPr="005D6196">
        <w:t xml:space="preserve"> via (multiple) semiotic representations.</w:t>
      </w:r>
      <w:r w:rsidR="00884ECA" w:rsidRPr="005D6196">
        <w:t xml:space="preserve"> I shall explore the first case through an example from astrophysics</w:t>
      </w:r>
      <w:r w:rsidR="0014664D" w:rsidRPr="005D6196">
        <w:t xml:space="preserve"> </w:t>
      </w:r>
      <w:r w:rsidR="00507531" w:rsidRPr="005D6196">
        <w:t xml:space="preserve">as </w:t>
      </w:r>
      <w:r w:rsidR="0014664D" w:rsidRPr="005D6196">
        <w:t>another domain of scientific knowledge</w:t>
      </w:r>
      <w:r w:rsidR="007E3FA4" w:rsidRPr="005D6196">
        <w:t>. H</w:t>
      </w:r>
      <w:r w:rsidR="00B415B5" w:rsidRPr="005D6196">
        <w:t>ere is the abstract of my exemplar paper to provide a sense of the nature of astrophysical representation</w:t>
      </w:r>
      <w:r w:rsidR="00C53AF5" w:rsidRPr="005D6196">
        <w:t xml:space="preserve"> (please bear with me!)</w:t>
      </w:r>
      <w:r w:rsidR="00884ECA" w:rsidRPr="005D6196">
        <w:t>.</w:t>
      </w:r>
    </w:p>
    <w:p w:rsidR="00884ECA" w:rsidRPr="005D6196" w:rsidRDefault="00884ECA" w:rsidP="00884ECA">
      <w:pPr>
        <w:pStyle w:val="Quote"/>
      </w:pPr>
    </w:p>
    <w:p w:rsidR="00884ECA" w:rsidRPr="005D6196" w:rsidRDefault="00884ECA" w:rsidP="00884ECA">
      <w:pPr>
        <w:pStyle w:val="Quote"/>
        <w:rPr>
          <w:szCs w:val="20"/>
        </w:rPr>
      </w:pPr>
      <w:r w:rsidRPr="005D6196">
        <w:rPr>
          <w:szCs w:val="20"/>
        </w:rPr>
        <w:t xml:space="preserve">Photometric redshifts can be routinely obtained to accuracies of better than 0.1 in </w:t>
      </w:r>
      <w:r w:rsidRPr="005D6196">
        <w:rPr>
          <w:rFonts w:ascii="Symbol" w:hAnsi="Symbol"/>
          <w:szCs w:val="20"/>
        </w:rPr>
        <w:t></w:t>
      </w:r>
      <w:r w:rsidRPr="005D6196">
        <w:rPr>
          <w:szCs w:val="20"/>
        </w:rPr>
        <w:t>z</w:t>
      </w:r>
      <w:proofErr w:type="gramStart"/>
      <w:r w:rsidRPr="005D6196">
        <w:rPr>
          <w:szCs w:val="20"/>
        </w:rPr>
        <w:t>/(</w:t>
      </w:r>
      <w:proofErr w:type="gramEnd"/>
      <w:r w:rsidRPr="005D6196">
        <w:rPr>
          <w:szCs w:val="20"/>
        </w:rPr>
        <w:t>1 +z). The issue of dust extinction, however, is one that has still not been well quantified. In this paper the success of two template-fitting photometric redshift codes (IMPZ and HYPERZ) at reliably returning A</w:t>
      </w:r>
      <w:r w:rsidRPr="005D6196">
        <w:rPr>
          <w:szCs w:val="20"/>
          <w:vertAlign w:val="subscript"/>
        </w:rPr>
        <w:t>V</w:t>
      </w:r>
      <w:r w:rsidRPr="005D6196">
        <w:rPr>
          <w:szCs w:val="20"/>
        </w:rPr>
        <w:t xml:space="preserve"> in addition to redshift is explored. New data on the 2nd Canadian Network for Observational Cosmology (CNO</w:t>
      </w:r>
      <w:r w:rsidR="00D7148D" w:rsidRPr="005D6196">
        <w:rPr>
          <w:szCs w:val="20"/>
        </w:rPr>
        <w:t>C</w:t>
      </w:r>
      <w:r w:rsidR="00123E99" w:rsidRPr="005D6196">
        <w:rPr>
          <w:szCs w:val="20"/>
        </w:rPr>
        <w:t>2) spectroscopic sample of 0.2&lt;</w:t>
      </w:r>
      <w:r w:rsidR="00D7148D" w:rsidRPr="005D6196">
        <w:rPr>
          <w:szCs w:val="20"/>
        </w:rPr>
        <w:t>z&lt;</w:t>
      </w:r>
      <w:r w:rsidRPr="005D6196">
        <w:rPr>
          <w:szCs w:val="20"/>
        </w:rPr>
        <w:t>0.7 galaxies are presented. These data allow us to estimate A</w:t>
      </w:r>
      <w:r w:rsidRPr="005D6196">
        <w:rPr>
          <w:szCs w:val="20"/>
          <w:vertAlign w:val="subscript"/>
        </w:rPr>
        <w:t>V</w:t>
      </w:r>
      <w:r w:rsidRPr="005D6196">
        <w:rPr>
          <w:szCs w:val="20"/>
        </w:rPr>
        <w:t xml:space="preserve"> values from the observed Balmer decrements. We also investigate whether the empirical value of </w:t>
      </w:r>
      <w:r w:rsidRPr="005D6196">
        <w:rPr>
          <w:rFonts w:ascii="Symbol" w:hAnsi="Symbol"/>
          <w:szCs w:val="20"/>
        </w:rPr>
        <w:t></w:t>
      </w:r>
      <w:r w:rsidRPr="005D6196">
        <w:rPr>
          <w:szCs w:val="20"/>
        </w:rPr>
        <w:t>= 0.44, the ratio between gas- and star-derived extinction, as determined by Calzetti, is necessarily the best value for this sample.</w:t>
      </w:r>
    </w:p>
    <w:p w:rsidR="00617ED9" w:rsidRPr="005D6196" w:rsidRDefault="00617ED9" w:rsidP="00D7148D">
      <w:pPr>
        <w:ind w:left="567" w:right="509" w:firstLine="284"/>
        <w:rPr>
          <w:sz w:val="20"/>
          <w:szCs w:val="20"/>
        </w:rPr>
      </w:pPr>
      <w:r w:rsidRPr="005D6196">
        <w:rPr>
          <w:sz w:val="20"/>
          <w:szCs w:val="20"/>
        </w:rPr>
        <w:t>When comparing the two codes with the Balmer-derived A</w:t>
      </w:r>
      <w:r w:rsidRPr="005D6196">
        <w:rPr>
          <w:sz w:val="20"/>
          <w:szCs w:val="20"/>
          <w:vertAlign w:val="subscript"/>
        </w:rPr>
        <w:t>V</w:t>
      </w:r>
      <w:r w:rsidRPr="005D6196">
        <w:rPr>
          <w:sz w:val="20"/>
          <w:szCs w:val="20"/>
        </w:rPr>
        <w:t xml:space="preserve"> (Balmer [A</w:t>
      </w:r>
      <w:r w:rsidRPr="005D6196">
        <w:rPr>
          <w:sz w:val="20"/>
          <w:szCs w:val="20"/>
          <w:vertAlign w:val="subscript"/>
        </w:rPr>
        <w:t>V</w:t>
      </w:r>
      <w:r w:rsidRPr="005D6196">
        <w:rPr>
          <w:sz w:val="20"/>
          <w:szCs w:val="20"/>
        </w:rPr>
        <w:t>]), a correlation between the photometrically derived A</w:t>
      </w:r>
      <w:r w:rsidRPr="005D6196">
        <w:rPr>
          <w:sz w:val="20"/>
          <w:szCs w:val="20"/>
          <w:vertAlign w:val="subscript"/>
        </w:rPr>
        <w:t>V</w:t>
      </w:r>
      <w:r w:rsidRPr="005D6196">
        <w:rPr>
          <w:sz w:val="20"/>
          <w:szCs w:val="20"/>
        </w:rPr>
        <w:t xml:space="preserve"> (Phot [A</w:t>
      </w:r>
      <w:r w:rsidRPr="005D6196">
        <w:rPr>
          <w:sz w:val="20"/>
          <w:szCs w:val="20"/>
          <w:vertAlign w:val="subscript"/>
        </w:rPr>
        <w:t>V</w:t>
      </w:r>
      <w:r w:rsidRPr="005D6196">
        <w:rPr>
          <w:sz w:val="20"/>
          <w:szCs w:val="20"/>
        </w:rPr>
        <w:t>]) and the Balmer [A</w:t>
      </w:r>
      <w:r w:rsidRPr="005D6196">
        <w:rPr>
          <w:sz w:val="20"/>
          <w:szCs w:val="20"/>
          <w:vertAlign w:val="subscript"/>
        </w:rPr>
        <w:t>V</w:t>
      </w:r>
      <w:r w:rsidRPr="005D6196">
        <w:rPr>
          <w:sz w:val="20"/>
          <w:szCs w:val="20"/>
        </w:rPr>
        <w:t xml:space="preserve">] is </w:t>
      </w:r>
      <w:r w:rsidRPr="005D6196">
        <w:rPr>
          <w:sz w:val="20"/>
          <w:szCs w:val="20"/>
        </w:rPr>
        <w:lastRenderedPageBreak/>
        <w:t xml:space="preserve">found. The correlation is improved when the empirical value of </w:t>
      </w:r>
      <w:r w:rsidR="00D7148D" w:rsidRPr="005D6196">
        <w:rPr>
          <w:rFonts w:ascii="Symbol" w:hAnsi="Symbol" w:cs="Times New Roman"/>
          <w:sz w:val="20"/>
          <w:szCs w:val="20"/>
        </w:rPr>
        <w:t></w:t>
      </w:r>
      <w:r w:rsidRPr="005D6196">
        <w:rPr>
          <w:sz w:val="20"/>
          <w:szCs w:val="20"/>
        </w:rPr>
        <w:t xml:space="preserve"> of 0.44 is allowed to vary. From least-squares fitting, the minimum in the reduced </w:t>
      </w:r>
      <w:r w:rsidR="00D7148D" w:rsidRPr="005D6196">
        <w:rPr>
          <w:rFonts w:ascii="Symbol" w:hAnsi="Symbol"/>
          <w:sz w:val="20"/>
          <w:szCs w:val="20"/>
        </w:rPr>
        <w:t></w:t>
      </w:r>
      <w:r w:rsidRPr="005D6196">
        <w:rPr>
          <w:sz w:val="20"/>
          <w:szCs w:val="20"/>
          <w:vertAlign w:val="superscript"/>
        </w:rPr>
        <w:t>2</w:t>
      </w:r>
      <w:r w:rsidRPr="005D6196">
        <w:rPr>
          <w:sz w:val="20"/>
          <w:szCs w:val="20"/>
        </w:rPr>
        <w:t xml:space="preserve"> distribution is found for </w:t>
      </w:r>
      <w:r w:rsidR="00D7148D" w:rsidRPr="005D6196">
        <w:rPr>
          <w:rFonts w:ascii="Symbol" w:hAnsi="Symbol" w:cs="Times New Roman"/>
          <w:sz w:val="20"/>
          <w:szCs w:val="20"/>
        </w:rPr>
        <w:t></w:t>
      </w:r>
      <w:r w:rsidR="00D7148D" w:rsidRPr="005D6196">
        <w:rPr>
          <w:sz w:val="20"/>
          <w:szCs w:val="20"/>
        </w:rPr>
        <w:t xml:space="preserve"> ~0.25±0.2. For the sample of galaxies here, the factor of 2 </w:t>
      </w:r>
      <w:proofErr w:type="gramStart"/>
      <w:r w:rsidR="00D7148D" w:rsidRPr="005D6196">
        <w:rPr>
          <w:sz w:val="20"/>
          <w:szCs w:val="20"/>
        </w:rPr>
        <w:t>difference</w:t>
      </w:r>
      <w:proofErr w:type="gramEnd"/>
      <w:r w:rsidR="00D7148D" w:rsidRPr="005D6196">
        <w:rPr>
          <w:sz w:val="20"/>
          <w:szCs w:val="20"/>
        </w:rPr>
        <w:t xml:space="preserve"> in covering factor implied by the Calzetti ratio is found to be plausible. The CNOC2 galaxies with detected Balmer lines have some preference for an increased covering-factor difference, which perhaps implies that they are undergoing more rapid, ‘bursty’ star formation than the galaxies Calzetti used in her derivation.</w:t>
      </w:r>
    </w:p>
    <w:p w:rsidR="00884ECA" w:rsidRPr="005D6196" w:rsidRDefault="00884ECA" w:rsidP="00D7148D">
      <w:pPr>
        <w:pStyle w:val="SenseQuote"/>
        <w:ind w:right="509"/>
        <w:jc w:val="right"/>
        <w:rPr>
          <w:lang w:val="en-GB"/>
        </w:rPr>
      </w:pPr>
      <w:r w:rsidRPr="005D6196">
        <w:rPr>
          <w:szCs w:val="32"/>
          <w:lang w:val="en-GB"/>
        </w:rPr>
        <w:t xml:space="preserve">(Babbedge </w:t>
      </w:r>
      <w:r w:rsidRPr="005D6196">
        <w:rPr>
          <w:i/>
          <w:szCs w:val="32"/>
          <w:lang w:val="en-GB"/>
        </w:rPr>
        <w:t>et al</w:t>
      </w:r>
      <w:r w:rsidRPr="005D6196">
        <w:rPr>
          <w:szCs w:val="32"/>
          <w:lang w:val="en-GB"/>
        </w:rPr>
        <w:t>, 2005;</w:t>
      </w:r>
      <w:r w:rsidR="00B415B5" w:rsidRPr="005D6196">
        <w:rPr>
          <w:szCs w:val="32"/>
          <w:lang w:val="en-GB"/>
        </w:rPr>
        <w:t xml:space="preserve"> 443</w:t>
      </w:r>
      <w:r w:rsidRPr="005D6196">
        <w:rPr>
          <w:szCs w:val="32"/>
          <w:lang w:val="en-GB"/>
        </w:rPr>
        <w:t>)</w:t>
      </w:r>
      <w:r w:rsidRPr="005D6196">
        <w:rPr>
          <w:rStyle w:val="FootnoteReference"/>
          <w:lang w:val="en-GB"/>
        </w:rPr>
        <w:t xml:space="preserve"> </w:t>
      </w:r>
    </w:p>
    <w:p w:rsidR="00884ECA" w:rsidRPr="005D6196" w:rsidRDefault="00884ECA" w:rsidP="00884ECA"/>
    <w:p w:rsidR="00884ECA" w:rsidRPr="005D6196" w:rsidRDefault="00B415B5" w:rsidP="00B415B5">
      <w:pPr>
        <w:ind w:firstLine="567"/>
      </w:pPr>
      <w:r w:rsidRPr="005D6196">
        <w:t>This may need a little unpicking for the non-specialist reader. Essentially, my interpretation of the argument in this paper is as follows:</w:t>
      </w:r>
    </w:p>
    <w:p w:rsidR="00223507" w:rsidRPr="005D6196" w:rsidRDefault="00223507" w:rsidP="00B415B5">
      <w:pPr>
        <w:ind w:firstLine="567"/>
      </w:pPr>
    </w:p>
    <w:p w:rsidR="00B415B5" w:rsidRPr="005D6196" w:rsidRDefault="00B415B5" w:rsidP="000532C1">
      <w:pPr>
        <w:pStyle w:val="ListParagraph"/>
        <w:numPr>
          <w:ilvl w:val="0"/>
          <w:numId w:val="1"/>
        </w:numPr>
        <w:ind w:left="851" w:hanging="284"/>
      </w:pPr>
      <w:r w:rsidRPr="005D6196">
        <w:t>Stellar evolutionary history can be inferred from electromagnetic</w:t>
      </w:r>
      <w:r w:rsidR="00353DA5" w:rsidRPr="005D6196">
        <w:t xml:space="preserve"> (em)</w:t>
      </w:r>
      <w:r w:rsidRPr="005D6196">
        <w:t xml:space="preserve"> spectral energy distribution (SED);</w:t>
      </w:r>
    </w:p>
    <w:p w:rsidR="00B415B5" w:rsidRPr="005D6196" w:rsidRDefault="00B415B5" w:rsidP="000532C1">
      <w:pPr>
        <w:pStyle w:val="ListParagraph"/>
        <w:numPr>
          <w:ilvl w:val="0"/>
          <w:numId w:val="1"/>
        </w:numPr>
        <w:ind w:left="851" w:hanging="284"/>
      </w:pPr>
      <w:r w:rsidRPr="005D6196">
        <w:t xml:space="preserve">Galactic dust absorbs and reflects some of the </w:t>
      </w:r>
      <w:r w:rsidR="00353DA5" w:rsidRPr="005D6196">
        <w:t>em energy; this is called dust extinction;</w:t>
      </w:r>
    </w:p>
    <w:p w:rsidR="00353DA5" w:rsidRPr="005D6196" w:rsidRDefault="007E3FA4" w:rsidP="000532C1">
      <w:pPr>
        <w:pStyle w:val="ListParagraph"/>
        <w:numPr>
          <w:ilvl w:val="0"/>
          <w:numId w:val="1"/>
        </w:numPr>
        <w:ind w:left="851" w:hanging="284"/>
      </w:pPr>
      <w:r w:rsidRPr="005D6196">
        <w:t xml:space="preserve">Physicists </w:t>
      </w:r>
      <w:r w:rsidR="00353DA5" w:rsidRPr="005D6196">
        <w:t>need to correct for dust extinction if they are to determine stellar histories;</w:t>
      </w:r>
    </w:p>
    <w:p w:rsidR="00353DA5" w:rsidRPr="005D6196" w:rsidRDefault="00123E99" w:rsidP="000532C1">
      <w:pPr>
        <w:pStyle w:val="ListParagraph"/>
        <w:numPr>
          <w:ilvl w:val="0"/>
          <w:numId w:val="1"/>
        </w:numPr>
        <w:ind w:left="851" w:hanging="284"/>
      </w:pPr>
      <w:r w:rsidRPr="005D6196">
        <w:t>Babbedge</w:t>
      </w:r>
      <w:r w:rsidR="00353DA5" w:rsidRPr="005D6196">
        <w:t xml:space="preserve"> </w:t>
      </w:r>
      <w:r w:rsidR="00353DA5" w:rsidRPr="005D6196">
        <w:rPr>
          <w:i/>
        </w:rPr>
        <w:t>et al</w:t>
      </w:r>
      <w:r w:rsidR="00353DA5" w:rsidRPr="005D6196">
        <w:t xml:space="preserve"> compared the results of using two photometric codes with another method;</w:t>
      </w:r>
    </w:p>
    <w:p w:rsidR="00353DA5" w:rsidRPr="005D6196" w:rsidRDefault="00353DA5" w:rsidP="000532C1">
      <w:pPr>
        <w:pStyle w:val="ListParagraph"/>
        <w:numPr>
          <w:ilvl w:val="0"/>
          <w:numId w:val="1"/>
        </w:numPr>
        <w:ind w:left="851" w:hanging="284"/>
      </w:pPr>
      <w:r w:rsidRPr="005D6196">
        <w:t>They found strong correlation between the results of the two photometric codes;</w:t>
      </w:r>
    </w:p>
    <w:p w:rsidR="00353DA5" w:rsidRPr="005D6196" w:rsidRDefault="00353DA5" w:rsidP="000532C1">
      <w:pPr>
        <w:pStyle w:val="ListParagraph"/>
        <w:numPr>
          <w:ilvl w:val="0"/>
          <w:numId w:val="1"/>
        </w:numPr>
        <w:ind w:left="851" w:hanging="284"/>
      </w:pPr>
      <w:r w:rsidRPr="005D6196">
        <w:t xml:space="preserve">They also found quite a good correlation with the third method, when the poor </w:t>
      </w:r>
      <w:r w:rsidRPr="005D6196">
        <w:rPr>
          <w:i/>
        </w:rPr>
        <w:t>accuracy</w:t>
      </w:r>
      <w:r w:rsidRPr="005D6196">
        <w:t xml:space="preserve"> of all three methods was taken into consideration;</w:t>
      </w:r>
    </w:p>
    <w:p w:rsidR="00353DA5" w:rsidRPr="005D6196" w:rsidRDefault="00353DA5" w:rsidP="000532C1">
      <w:pPr>
        <w:pStyle w:val="ListParagraph"/>
        <w:numPr>
          <w:ilvl w:val="0"/>
          <w:numId w:val="1"/>
        </w:numPr>
        <w:ind w:left="851" w:hanging="284"/>
      </w:pPr>
      <w:r w:rsidRPr="005D6196">
        <w:t>They concluded that the measurement of dust extinction was reliable but not accurate.</w:t>
      </w:r>
    </w:p>
    <w:p w:rsidR="00353DA5" w:rsidRPr="005D6196" w:rsidRDefault="00353DA5" w:rsidP="00353DA5"/>
    <w:p w:rsidR="00187223" w:rsidRPr="005D6196" w:rsidRDefault="00BC1426" w:rsidP="005B18F9">
      <w:pPr>
        <w:ind w:firstLine="567"/>
      </w:pPr>
      <w:r w:rsidRPr="005D6196">
        <w:t>The data for this research was collected via the Canada-France-Hawai</w:t>
      </w:r>
      <w:r w:rsidR="002967D9" w:rsidRPr="005D6196">
        <w:t>i</w:t>
      </w:r>
      <w:r w:rsidRPr="005D6196">
        <w:t xml:space="preserve"> Telescope</w:t>
      </w:r>
      <w:r w:rsidR="002967D9" w:rsidRPr="005D6196">
        <w:t xml:space="preserve">—located on Mauna Kea on Hawaii </w:t>
      </w:r>
      <w:proofErr w:type="gramStart"/>
      <w:r w:rsidR="002967D9" w:rsidRPr="005D6196">
        <w:t>island—</w:t>
      </w:r>
      <w:proofErr w:type="gramEnd"/>
      <w:r w:rsidRPr="005D6196">
        <w:t>which is an optical/infrared telescope. The outputs from this instrument are presented in the paper by graphs and tables of wavelength intensity distributions etc and not as photographs of stars, but in either case, the output would be meaningless in the absence of the principles of deployment and reading of the instrument</w:t>
      </w:r>
      <w:r w:rsidR="00C947BA" w:rsidRPr="005D6196">
        <w:t xml:space="preserve"> and the astrophysical discourse that produces both the experiment and the</w:t>
      </w:r>
      <w:r w:rsidR="002967D9" w:rsidRPr="005D6196">
        <w:t xml:space="preserve"> results presented in the paper and, indeed, the form of the argument presented above. Certainly, the telescope is pointing away from the physicists and at something constituted as the empirical, but just what this is is entirely consumed by an articulation of, on the one hand, physics theory and, on the other, what Latour and Woolgar (1979) referred to as inscription devices and their principles of deployment and </w:t>
      </w:r>
      <w:r w:rsidR="00337BF8" w:rsidRPr="005D6196">
        <w:t>reading</w:t>
      </w:r>
      <w:r w:rsidR="00917537" w:rsidRPr="005D6196">
        <w:t>. Th</w:t>
      </w:r>
      <w:r w:rsidR="0014664D" w:rsidRPr="005D6196">
        <w:t>at</w:t>
      </w:r>
      <w:r w:rsidR="00337BF8" w:rsidRPr="005D6196">
        <w:t xml:space="preserve"> is to say, the objects </w:t>
      </w:r>
      <w:r w:rsidR="009B58FF" w:rsidRPr="005D6196">
        <w:t>of astrophysics—galaxies, the electromagnetic</w:t>
      </w:r>
      <w:r w:rsidR="00337BF8" w:rsidRPr="005D6196">
        <w:t xml:space="preserve"> spectrum, galactic dust, and so forth—are constituted and not represented by the practice of</w:t>
      </w:r>
      <w:r w:rsidR="00FA43EF" w:rsidRPr="005D6196">
        <w:t xml:space="preserve"> astrophysics; real galaxies, electromagnetic</w:t>
      </w:r>
      <w:r w:rsidR="00337BF8" w:rsidRPr="005D6196">
        <w:t xml:space="preserve"> radiation, and dust are postulated by a positivist interpretation of the activity and serve to legitimate astrophysics for those of us who make our living in other ways: the myth of reference</w:t>
      </w:r>
      <w:r w:rsidR="00FD06AF" w:rsidRPr="005D6196">
        <w:t xml:space="preserve"> (Dowling, 1998)—</w:t>
      </w:r>
      <w:r w:rsidR="00337BF8" w:rsidRPr="005D6196">
        <w:rPr>
          <w:i/>
        </w:rPr>
        <w:t>forensics</w:t>
      </w:r>
      <w:r w:rsidR="00337BF8" w:rsidRPr="005D6196">
        <w:t>.</w:t>
      </w:r>
      <w:r w:rsidR="005C21EE" w:rsidRPr="005D6196">
        <w:t xml:space="preserve"> Crucially, the situation in respect of the objects of mathematics as postulated by Duval—objects that are accessible only via semiotic represen</w:t>
      </w:r>
      <w:r w:rsidR="000D6171" w:rsidRPr="005D6196">
        <w:t>tations—is identical. I</w:t>
      </w:r>
      <w:r w:rsidR="00B77DDB" w:rsidRPr="005D6196">
        <w:t xml:space="preserve">dentical, that is, except for </w:t>
      </w:r>
      <w:r w:rsidR="000D6171" w:rsidRPr="005D6196">
        <w:t xml:space="preserve">the </w:t>
      </w:r>
      <w:r w:rsidR="00B77DDB" w:rsidRPr="005D6196">
        <w:t>currently unfashionable nature</w:t>
      </w:r>
      <w:r w:rsidR="000D6171" w:rsidRPr="005D6196">
        <w:t xml:space="preserve"> of platonic discourse that would reify them in the way that both everyday and physics discourse</w:t>
      </w:r>
      <w:r w:rsidR="00FD06AF" w:rsidRPr="005D6196">
        <w:t>s</w:t>
      </w:r>
      <w:r w:rsidR="000D6171" w:rsidRPr="005D6196">
        <w:t xml:space="preserve"> reif</w:t>
      </w:r>
      <w:r w:rsidR="00FD06AF" w:rsidRPr="005D6196">
        <w:t>y</w:t>
      </w:r>
      <w:r w:rsidR="000D6171" w:rsidRPr="005D6196">
        <w:t xml:space="preserve"> </w:t>
      </w:r>
      <w:r w:rsidR="00FD06AF" w:rsidRPr="005D6196">
        <w:t>their</w:t>
      </w:r>
      <w:r w:rsidR="000D6171" w:rsidRPr="005D6196">
        <w:t xml:space="preserve"> objects (note in particular the recent fuss </w:t>
      </w:r>
      <w:r w:rsidR="000D6171" w:rsidRPr="005D6196">
        <w:lastRenderedPageBreak/>
        <w:t>over the Higgs boson</w:t>
      </w:r>
      <w:r w:rsidR="00187223" w:rsidRPr="005D6196">
        <w:rPr>
          <w:rStyle w:val="FootnoteReference"/>
        </w:rPr>
        <w:footnoteReference w:id="2"/>
      </w:r>
      <w:r w:rsidR="00187223" w:rsidRPr="005D6196">
        <w:t xml:space="preserve">). Duval’s explanation of the particular difficulties experienced by students of mathematics—his forensic push into the empirical world of mathematics education—founders because at least one of the specificities of mathematics that he identifies is revealed as of his own construction. The other specificity—that mathematics, </w:t>
      </w:r>
      <w:r w:rsidR="00187223" w:rsidRPr="005D6196">
        <w:rPr>
          <w:i/>
        </w:rPr>
        <w:t>par excellence</w:t>
      </w:r>
      <w:r w:rsidR="00187223" w:rsidRPr="005D6196">
        <w:t xml:space="preserve">, deploys a range of semiotic representation systems is a poor representation of knowledge (to use </w:t>
      </w:r>
      <w:proofErr w:type="gramStart"/>
      <w:r w:rsidR="00187223" w:rsidRPr="005D6196">
        <w:t>his own</w:t>
      </w:r>
      <w:proofErr w:type="gramEnd"/>
      <w:r w:rsidR="00187223" w:rsidRPr="005D6196">
        <w:t xml:space="preserve"> form of argument) as the most casual glance at the physics curriculum will affirm.</w:t>
      </w:r>
    </w:p>
    <w:p w:rsidR="00187223" w:rsidRPr="005D6196" w:rsidRDefault="00187223" w:rsidP="005B18F9">
      <w:pPr>
        <w:ind w:firstLine="567"/>
      </w:pPr>
    </w:p>
    <w:p w:rsidR="00187223" w:rsidRPr="005D6196" w:rsidRDefault="00187223" w:rsidP="005B18F9">
      <w:pPr>
        <w:ind w:firstLine="567"/>
        <w:rPr>
          <w:i/>
          <w:sz w:val="28"/>
          <w:szCs w:val="28"/>
        </w:rPr>
      </w:pPr>
      <w:r w:rsidRPr="005D6196">
        <w:rPr>
          <w:i/>
          <w:sz w:val="28"/>
          <w:szCs w:val="28"/>
        </w:rPr>
        <w:t>Discursive saturation and grammatical modes</w:t>
      </w:r>
    </w:p>
    <w:p w:rsidR="00187223" w:rsidRPr="005D6196" w:rsidRDefault="00187223" w:rsidP="005B18F9">
      <w:pPr>
        <w:ind w:firstLine="567"/>
      </w:pPr>
    </w:p>
    <w:p w:rsidR="00187223" w:rsidRPr="005D6196" w:rsidRDefault="00187223" w:rsidP="003A473A">
      <w:r w:rsidRPr="005D6196">
        <w:t xml:space="preserve">I have constituted astrophysics, as instanced in Babbedge </w:t>
      </w:r>
      <w:r w:rsidRPr="005D6196">
        <w:rPr>
          <w:i/>
        </w:rPr>
        <w:t>et al</w:t>
      </w:r>
      <w:r w:rsidRPr="005D6196">
        <w:t xml:space="preserve"> (2005), as deploying two forms of ‘language’, astrophysics theory and inscription devices together with their principles of operation. I want to refer to these two languages as instances of internal and external languages, respectively. Bernstein distinguishes between the two as components of a ‘language of description’ as follows:</w:t>
      </w:r>
    </w:p>
    <w:p w:rsidR="00187223" w:rsidRPr="005D6196" w:rsidRDefault="00187223" w:rsidP="00816B39">
      <w:pPr>
        <w:pStyle w:val="Quote"/>
      </w:pPr>
    </w:p>
    <w:p w:rsidR="00187223" w:rsidRPr="005D6196" w:rsidRDefault="00187223" w:rsidP="00816B39">
      <w:pPr>
        <w:pStyle w:val="Quote"/>
      </w:pPr>
      <w:r w:rsidRPr="005D6196">
        <w:t>Briefly, a language of description is a translation device whereby one language is transformed into another. We can distinguish between internal and external languages of description. The internal language of description refers to the syntax whereby a conceptual language is created. The external</w:t>
      </w:r>
      <w:bookmarkStart w:id="3" w:name="OLE_LINK27"/>
      <w:bookmarkStart w:id="4" w:name="OLE_LINK28"/>
      <w:r w:rsidRPr="005D6196">
        <w:t xml:space="preserve"> language of description refers to the syntax whereby the internal language can describe something other than itself.</w:t>
      </w:r>
    </w:p>
    <w:p w:rsidR="00187223" w:rsidRPr="005D6196" w:rsidRDefault="00187223" w:rsidP="00816B39">
      <w:pPr>
        <w:pStyle w:val="SenseQuote"/>
        <w:ind w:right="509"/>
        <w:jc w:val="right"/>
        <w:rPr>
          <w:lang w:val="en-GB"/>
        </w:rPr>
      </w:pPr>
      <w:r w:rsidRPr="005D6196">
        <w:rPr>
          <w:lang w:val="en-GB"/>
        </w:rPr>
        <w:t>(Bernstein, 1996; 135-6)</w:t>
      </w:r>
    </w:p>
    <w:bookmarkEnd w:id="3"/>
    <w:bookmarkEnd w:id="4"/>
    <w:p w:rsidR="00187223" w:rsidRPr="005D6196" w:rsidRDefault="00187223" w:rsidP="00CF0847">
      <w:r w:rsidRPr="005D6196">
        <w:t xml:space="preserve">I am going to use the expression </w:t>
      </w:r>
      <w:r w:rsidRPr="005D6196">
        <w:rPr>
          <w:i/>
        </w:rPr>
        <w:t>organisational language</w:t>
      </w:r>
      <w:r w:rsidRPr="005D6196">
        <w:t xml:space="preserve"> rather than Bernstein’s ‘language of description’.</w:t>
      </w:r>
      <w:r w:rsidRPr="005D6196">
        <w:rPr>
          <w:rStyle w:val="FootnoteReference"/>
        </w:rPr>
        <w:footnoteReference w:id="3"/>
      </w:r>
      <w:r w:rsidRPr="005D6196">
        <w:t xml:space="preserve"> Let us take the organisational language to be constituted by the research language—the translating or representing language—</w:t>
      </w:r>
      <w:r w:rsidR="00837F71" w:rsidRPr="005D6196">
        <w:t>and comprising internal and external languages; this is what I am going to be talking about below. T</w:t>
      </w:r>
      <w:r w:rsidRPr="005D6196">
        <w:t xml:space="preserve">he empirical setting </w:t>
      </w:r>
      <w:r w:rsidR="00837F71" w:rsidRPr="005D6196">
        <w:t>is, referring to the Bernstein extract above,</w:t>
      </w:r>
      <w:r w:rsidRPr="005D6196">
        <w:t xml:space="preserve"> the other language—the language that is to be translated into the research language or, in other words, the language that is to be represented. Referring back to the astrophysics example, then, we might identify the language of astrophysics theory as the internal language and the apparatus of inscription devices and associated principles of operation as the external language. At this point I need to make reference to a construct from my own language, </w:t>
      </w:r>
      <w:r w:rsidRPr="005D6196">
        <w:rPr>
          <w:i/>
        </w:rPr>
        <w:t>discursive saturation</w:t>
      </w:r>
      <w:r w:rsidRPr="005D6196">
        <w:t xml:space="preserve"> (DS) (see Dowling, 1994, 1996, 1998, </w:t>
      </w:r>
      <w:proofErr w:type="gramStart"/>
      <w:r w:rsidRPr="005D6196">
        <w:t>2009</w:t>
      </w:r>
      <w:proofErr w:type="gramEnd"/>
      <w:r w:rsidRPr="005D6196">
        <w:t xml:space="preserve">). </w:t>
      </w:r>
      <w:r w:rsidR="00837F71" w:rsidRPr="005D6196">
        <w:t>I refer to s</w:t>
      </w:r>
      <w:r w:rsidRPr="005D6196">
        <w:t>trategies that tend to make the principles of a practice available explicitly within language</w:t>
      </w:r>
      <w:r w:rsidR="00837F71" w:rsidRPr="005D6196">
        <w:t xml:space="preserve"> as </w:t>
      </w:r>
      <w:r w:rsidRPr="005D6196">
        <w:t>high discursive saturation (DS</w:t>
      </w:r>
      <w:r w:rsidRPr="005D6196">
        <w:rPr>
          <w:vertAlign w:val="superscript"/>
        </w:rPr>
        <w:t>+</w:t>
      </w:r>
      <w:r w:rsidRPr="005D6196">
        <w:t>); low discursive saturation (DS</w:t>
      </w:r>
      <w:r w:rsidRPr="005D6196">
        <w:rPr>
          <w:vertAlign w:val="superscript"/>
        </w:rPr>
        <w:t>-</w:t>
      </w:r>
      <w:r w:rsidRPr="005D6196">
        <w:t xml:space="preserve">) refers to the opposite situation in which strategies are tacit. Now the abstract from Babbedge </w:t>
      </w:r>
      <w:r w:rsidRPr="005D6196">
        <w:rPr>
          <w:i/>
        </w:rPr>
        <w:t>et al</w:t>
      </w:r>
      <w:r w:rsidRPr="005D6196">
        <w:t xml:space="preserve"> (2005) suggests that both internal and external languages of astrophysics</w:t>
      </w:r>
      <w:r w:rsidR="00364E06" w:rsidRPr="005D6196">
        <w:t>,</w:t>
      </w:r>
      <w:r w:rsidRPr="005D6196">
        <w:t xml:space="preserve"> as constituted in the paper</w:t>
      </w:r>
      <w:r w:rsidR="00364E06" w:rsidRPr="005D6196">
        <w:t>,</w:t>
      </w:r>
      <w:r w:rsidRPr="005D6196">
        <w:t xml:space="preserve"> are characterised by DS</w:t>
      </w:r>
      <w:r w:rsidRPr="005D6196">
        <w:rPr>
          <w:vertAlign w:val="superscript"/>
        </w:rPr>
        <w:t>+</w:t>
      </w:r>
      <w:r w:rsidRPr="005D6196">
        <w:t xml:space="preserve"> strategies. I refer to this kind of an organisational language as a </w:t>
      </w:r>
      <w:r w:rsidRPr="005D6196">
        <w:rPr>
          <w:i/>
        </w:rPr>
        <w:t>metonymic apparatus</w:t>
      </w:r>
      <w:r w:rsidRPr="005D6196">
        <w:t xml:space="preserve"> (Dowling, 2009). The astrophysics of Babbedge </w:t>
      </w:r>
      <w:r w:rsidRPr="005D6196">
        <w:rPr>
          <w:i/>
        </w:rPr>
        <w:t>et al</w:t>
      </w:r>
      <w:r w:rsidRPr="005D6196">
        <w:t>, then, stands in contrast with Bernstein’s own language, which tends to remain in the internal. This is certainly explicitly developed, but, as I have argued in Dowling (2009), there is no developed external language</w:t>
      </w:r>
      <w:r w:rsidR="00364E06" w:rsidRPr="005D6196">
        <w:t>—no Bernsteinian telescopes—</w:t>
      </w:r>
      <w:r w:rsidRPr="005D6196">
        <w:t>so that Bernstein’s concepts are both too easy and too difficult to operationalize</w:t>
      </w:r>
      <w:r w:rsidR="00364E06" w:rsidRPr="005D6196">
        <w:t>; t</w:t>
      </w:r>
      <w:r w:rsidRPr="005D6196">
        <w:t xml:space="preserve">hey do no work in engaging with the empirical. Bernstein’s language is a </w:t>
      </w:r>
      <w:r w:rsidRPr="005D6196">
        <w:rPr>
          <w:i/>
        </w:rPr>
        <w:t>metaphorical apparatus</w:t>
      </w:r>
      <w:r w:rsidRPr="005D6196">
        <w:t>.</w:t>
      </w:r>
    </w:p>
    <w:p w:rsidR="00187223" w:rsidRPr="005D6196" w:rsidRDefault="00187223" w:rsidP="00F848B6">
      <w:pPr>
        <w:ind w:firstLine="567"/>
      </w:pPr>
      <w:r w:rsidRPr="005D6196">
        <w:lastRenderedPageBreak/>
        <w:t xml:space="preserve">SAM is really the opposite kind of thing from Bernstein’s language. It’s external language—the operationalized/operationalisable content—is explicitly developed, approximately two hundred categories are summarised in the glossary presented in </w:t>
      </w:r>
      <w:r w:rsidRPr="005D6196">
        <w:rPr>
          <w:i/>
        </w:rPr>
        <w:t>Sociology as Method</w:t>
      </w:r>
      <w:r w:rsidRPr="005D6196">
        <w:t xml:space="preserve"> (Dowling, 2009) and more have been added since then. I shall present some of this structure—including some new elements—in this paper. The internal language, however, is relatively undeveloped and is summarised in the following sentence: </w:t>
      </w:r>
      <w:r w:rsidRPr="005D6196">
        <w:rPr>
          <w:i/>
        </w:rPr>
        <w:t>the sociocultural constitutes and is constituted by strategic, autopoietic</w:t>
      </w:r>
      <w:r w:rsidRPr="005D6196">
        <w:rPr>
          <w:rStyle w:val="FootnoteReference"/>
          <w:i/>
        </w:rPr>
        <w:footnoteReference w:id="4"/>
      </w:r>
      <w:r w:rsidRPr="005D6196">
        <w:rPr>
          <w:i/>
        </w:rPr>
        <w:t xml:space="preserve"> action directed at the formation, maintenance and destabilising of alliances and oppositions, the visibility of which, in terms of regularity of practice, is emergent upon the totality of such action and is thereby available for recruitment into subsequent action</w:t>
      </w:r>
      <w:r w:rsidRPr="005D6196">
        <w:t xml:space="preserve">. Key terms here (though all are important) are: </w:t>
      </w:r>
      <w:r w:rsidRPr="005D6196">
        <w:rPr>
          <w:i/>
        </w:rPr>
        <w:t>strategy, action</w:t>
      </w:r>
      <w:r w:rsidRPr="005D6196">
        <w:t xml:space="preserve">, </w:t>
      </w:r>
      <w:r w:rsidRPr="005D6196">
        <w:rPr>
          <w:i/>
        </w:rPr>
        <w:t>alliance</w:t>
      </w:r>
      <w:r w:rsidRPr="005D6196">
        <w:t xml:space="preserve"> and </w:t>
      </w:r>
      <w:r w:rsidRPr="005D6196">
        <w:rPr>
          <w:i/>
        </w:rPr>
        <w:t>opposition</w:t>
      </w:r>
      <w:r w:rsidR="00C62730" w:rsidRPr="005D6196">
        <w:t>,</w:t>
      </w:r>
      <w:r w:rsidRPr="005D6196">
        <w:t xml:space="preserve"> and </w:t>
      </w:r>
      <w:r w:rsidRPr="005D6196">
        <w:rPr>
          <w:i/>
        </w:rPr>
        <w:t>emergence</w:t>
      </w:r>
      <w:r w:rsidRPr="005D6196">
        <w:t xml:space="preserve">. Essentially, the external language arises and is developed out of the transaction </w:t>
      </w:r>
      <w:r w:rsidR="00C62730" w:rsidRPr="005D6196">
        <w:t>between</w:t>
      </w:r>
      <w:r w:rsidRPr="005D6196">
        <w:t xml:space="preserve"> this internal language </w:t>
      </w:r>
      <w:r w:rsidR="00C62730" w:rsidRPr="005D6196">
        <w:t>and</w:t>
      </w:r>
      <w:r w:rsidRPr="005D6196">
        <w:t xml:space="preserve"> empirical settings. The internal language is a kind of prejudice or bias—a ‘guiding thread’ as Marx (1968 edn) famously described h</w:t>
      </w:r>
      <w:r w:rsidR="00FE633C" w:rsidRPr="005D6196">
        <w:t>is base/superstructure metaphor</w:t>
      </w:r>
      <w:r w:rsidRPr="005D6196">
        <w:t xml:space="preserve">—but it is the external language that stands as a legacy of successive engagements. I refer to SAM as a </w:t>
      </w:r>
      <w:r w:rsidRPr="005D6196">
        <w:rPr>
          <w:i/>
        </w:rPr>
        <w:t>method</w:t>
      </w:r>
      <w:r w:rsidRPr="005D6196">
        <w:t xml:space="preserve"> and in this it </w:t>
      </w:r>
      <w:r w:rsidR="00C62730" w:rsidRPr="005D6196">
        <w:t xml:space="preserve">perhaps </w:t>
      </w:r>
      <w:proofErr w:type="gramStart"/>
      <w:r w:rsidR="00C62730" w:rsidRPr="005D6196">
        <w:t>resonates</w:t>
      </w:r>
      <w:proofErr w:type="gramEnd"/>
      <w:r w:rsidR="00C62730" w:rsidRPr="005D6196">
        <w:t xml:space="preserve"> with classic</w:t>
      </w:r>
      <w:r w:rsidRPr="005D6196">
        <w:t xml:space="preserve"> grounded theory (Glaser &amp; Strauss, </w:t>
      </w:r>
      <w:r w:rsidR="00D86955" w:rsidRPr="005D6196">
        <w:t xml:space="preserve">1965, </w:t>
      </w:r>
      <w:r w:rsidRPr="005D6196">
        <w:t>1967; Glaser, 1992; Martin &amp; Gynnild, 2011</w:t>
      </w:r>
      <w:r w:rsidR="00C62730" w:rsidRPr="005D6196">
        <w:t>, see also Dowling, in press</w:t>
      </w:r>
      <w:r w:rsidRPr="005D6196">
        <w:t>)</w:t>
      </w:r>
      <w:r w:rsidR="00C62730" w:rsidRPr="005D6196">
        <w:t>; classic grounded theory is not a theory, but a method and grounded theory is what emerges from its deployment</w:t>
      </w:r>
      <w:r w:rsidRPr="005D6196">
        <w:t>.</w:t>
      </w:r>
      <w:r w:rsidRPr="005D6196">
        <w:rPr>
          <w:rStyle w:val="FootnoteReference"/>
        </w:rPr>
        <w:footnoteReference w:id="5"/>
      </w:r>
    </w:p>
    <w:p w:rsidR="00187223" w:rsidRPr="005D6196" w:rsidRDefault="00187223" w:rsidP="00F848B6">
      <w:pPr>
        <w:ind w:firstLine="567"/>
      </w:pPr>
      <w:r w:rsidRPr="005D6196">
        <w:t xml:space="preserve">At this point, I am in a position to summarise the schema of </w:t>
      </w:r>
      <w:r w:rsidRPr="005D6196">
        <w:rPr>
          <w:i/>
        </w:rPr>
        <w:t>grammatical modes</w:t>
      </w:r>
      <w:r w:rsidRPr="005D6196">
        <w:t xml:space="preserve"> of organisational languages in diagrammatic form in Figure 1. Three of the categories have already been mentioned. The fourth—</w:t>
      </w:r>
      <w:r w:rsidRPr="005D6196">
        <w:rPr>
          <w:i/>
        </w:rPr>
        <w:t>fiction</w:t>
      </w:r>
      <w:r w:rsidRPr="005D6196">
        <w:t>—constitutes a strategy that exhibits DS</w:t>
      </w:r>
      <w:r w:rsidRPr="005D6196">
        <w:rPr>
          <w:vertAlign w:val="superscript"/>
        </w:rPr>
        <w:t>-</w:t>
      </w:r>
      <w:r w:rsidRPr="005D6196">
        <w:t xml:space="preserve"> in respect of both internal and external languages. This mode characterises some approaches in literary criticism—see, for example, Leavis, 1950—but certainly not all: the new historicism of Louis Montrose (1989) </w:t>
      </w:r>
      <w:r w:rsidR="00FE633C" w:rsidRPr="005D6196">
        <w:t xml:space="preserve">and other examples of literary theory </w:t>
      </w:r>
      <w:r w:rsidRPr="005D6196">
        <w:t>would perhaps be</w:t>
      </w:r>
      <w:r w:rsidR="00FE633C" w:rsidRPr="005D6196">
        <w:t xml:space="preserve"> better described as deploying</w:t>
      </w:r>
      <w:r w:rsidRPr="005D6196">
        <w:t xml:space="preserve"> </w:t>
      </w:r>
      <w:r w:rsidRPr="005D6196">
        <w:rPr>
          <w:i/>
        </w:rPr>
        <w:t>metaphorical apparatus</w:t>
      </w:r>
      <w:r w:rsidRPr="005D6196">
        <w:t>.</w:t>
      </w:r>
    </w:p>
    <w:p w:rsidR="00187223" w:rsidRPr="005D6196" w:rsidRDefault="00187223" w:rsidP="00F848B6">
      <w:pPr>
        <w:ind w:firstLine="567"/>
      </w:pPr>
    </w:p>
    <w:p w:rsidR="00187223" w:rsidRPr="005D6196" w:rsidRDefault="00187223" w:rsidP="0076559B">
      <w:pPr>
        <w:keepNext/>
      </w:pPr>
      <w:r w:rsidRPr="005D6196">
        <w:rPr>
          <w:i/>
        </w:rPr>
        <w:t>Figure 1: Grammatical modes of organisational languages</w:t>
      </w:r>
      <w:r w:rsidRPr="005D6196">
        <w:t xml:space="preserve"> (from Dowling, 2009)</w:t>
      </w:r>
    </w:p>
    <w:p w:rsidR="00187223" w:rsidRPr="005D6196" w:rsidRDefault="00187223" w:rsidP="0076559B">
      <w:pPr>
        <w:keepNext/>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40"/>
        <w:gridCol w:w="2841"/>
        <w:gridCol w:w="2841"/>
      </w:tblGrid>
      <w:tr w:rsidR="00187223" w:rsidRPr="005D6196" w:rsidTr="008F23EA">
        <w:tc>
          <w:tcPr>
            <w:tcW w:w="2840" w:type="dxa"/>
          </w:tcPr>
          <w:p w:rsidR="00187223" w:rsidRPr="005D6196" w:rsidRDefault="00187223" w:rsidP="0076559B">
            <w:pPr>
              <w:keepNext/>
              <w:spacing w:before="120" w:after="120"/>
            </w:pPr>
          </w:p>
        </w:tc>
        <w:tc>
          <w:tcPr>
            <w:tcW w:w="5682" w:type="dxa"/>
            <w:gridSpan w:val="2"/>
            <w:tcBorders>
              <w:top w:val="single" w:sz="4" w:space="0" w:color="auto"/>
              <w:bottom w:val="single" w:sz="4" w:space="0" w:color="auto"/>
            </w:tcBorders>
          </w:tcPr>
          <w:p w:rsidR="00187223" w:rsidRPr="005D6196" w:rsidRDefault="00187223" w:rsidP="0076559B">
            <w:pPr>
              <w:keepNext/>
              <w:spacing w:before="120" w:after="120"/>
              <w:jc w:val="center"/>
            </w:pPr>
            <w:r w:rsidRPr="005D6196">
              <w:t>Internal Language</w:t>
            </w:r>
          </w:p>
        </w:tc>
      </w:tr>
      <w:tr w:rsidR="00187223" w:rsidRPr="005D6196" w:rsidTr="008F23EA">
        <w:tc>
          <w:tcPr>
            <w:tcW w:w="2840" w:type="dxa"/>
            <w:tcBorders>
              <w:bottom w:val="single" w:sz="4" w:space="0" w:color="auto"/>
            </w:tcBorders>
          </w:tcPr>
          <w:p w:rsidR="00187223" w:rsidRPr="005D6196" w:rsidRDefault="00187223" w:rsidP="0076559B">
            <w:pPr>
              <w:keepNext/>
              <w:spacing w:before="120" w:after="120"/>
              <w:jc w:val="center"/>
            </w:pPr>
            <w:r w:rsidRPr="005D6196">
              <w:t>External Language</w:t>
            </w:r>
          </w:p>
        </w:tc>
        <w:tc>
          <w:tcPr>
            <w:tcW w:w="2841" w:type="dxa"/>
            <w:tcBorders>
              <w:top w:val="single" w:sz="4" w:space="0" w:color="auto"/>
              <w:bottom w:val="single" w:sz="4" w:space="0" w:color="auto"/>
            </w:tcBorders>
          </w:tcPr>
          <w:p w:rsidR="00187223" w:rsidRPr="005D6196" w:rsidRDefault="00187223" w:rsidP="0076559B">
            <w:pPr>
              <w:keepNext/>
              <w:spacing w:before="120" w:after="120"/>
              <w:jc w:val="center"/>
            </w:pPr>
            <w:r w:rsidRPr="005D6196">
              <w:t>DS</w:t>
            </w:r>
            <w:r w:rsidRPr="005D6196">
              <w:rPr>
                <w:vertAlign w:val="superscript"/>
              </w:rPr>
              <w:t>+</w:t>
            </w:r>
          </w:p>
        </w:tc>
        <w:tc>
          <w:tcPr>
            <w:tcW w:w="2841" w:type="dxa"/>
            <w:tcBorders>
              <w:top w:val="single" w:sz="4" w:space="0" w:color="auto"/>
              <w:bottom w:val="single" w:sz="4" w:space="0" w:color="auto"/>
            </w:tcBorders>
          </w:tcPr>
          <w:p w:rsidR="00187223" w:rsidRPr="005D6196" w:rsidRDefault="00187223" w:rsidP="0076559B">
            <w:pPr>
              <w:keepNext/>
              <w:spacing w:before="120" w:after="120"/>
              <w:jc w:val="center"/>
            </w:pPr>
            <w:r w:rsidRPr="005D6196">
              <w:t>DS</w:t>
            </w:r>
            <w:r w:rsidRPr="005D6196">
              <w:rPr>
                <w:vertAlign w:val="superscript"/>
              </w:rPr>
              <w:t>-</w:t>
            </w:r>
          </w:p>
        </w:tc>
      </w:tr>
      <w:tr w:rsidR="00187223" w:rsidRPr="005D6196" w:rsidTr="008F23EA">
        <w:tc>
          <w:tcPr>
            <w:tcW w:w="2840" w:type="dxa"/>
            <w:tcBorders>
              <w:top w:val="single" w:sz="4" w:space="0" w:color="auto"/>
            </w:tcBorders>
          </w:tcPr>
          <w:p w:rsidR="00187223" w:rsidRPr="005D6196" w:rsidRDefault="00187223" w:rsidP="0076559B">
            <w:pPr>
              <w:keepNext/>
              <w:spacing w:before="120" w:after="120"/>
              <w:ind w:left="567"/>
            </w:pPr>
            <w:r w:rsidRPr="005D6196">
              <w:t>DS</w:t>
            </w:r>
            <w:r w:rsidRPr="005D6196">
              <w:rPr>
                <w:vertAlign w:val="superscript"/>
              </w:rPr>
              <w:t>+</w:t>
            </w:r>
          </w:p>
        </w:tc>
        <w:tc>
          <w:tcPr>
            <w:tcW w:w="2841" w:type="dxa"/>
            <w:tcBorders>
              <w:top w:val="single" w:sz="4" w:space="0" w:color="auto"/>
            </w:tcBorders>
          </w:tcPr>
          <w:p w:rsidR="00187223" w:rsidRPr="005D6196" w:rsidRDefault="00187223" w:rsidP="0076559B">
            <w:pPr>
              <w:keepNext/>
              <w:spacing w:before="120" w:after="120"/>
              <w:jc w:val="center"/>
              <w:rPr>
                <w:i/>
              </w:rPr>
            </w:pPr>
            <w:r w:rsidRPr="005D6196">
              <w:rPr>
                <w:i/>
              </w:rPr>
              <w:t>metonymic apparatus</w:t>
            </w:r>
          </w:p>
        </w:tc>
        <w:tc>
          <w:tcPr>
            <w:tcW w:w="2841" w:type="dxa"/>
            <w:tcBorders>
              <w:top w:val="single" w:sz="4" w:space="0" w:color="auto"/>
            </w:tcBorders>
          </w:tcPr>
          <w:p w:rsidR="00187223" w:rsidRPr="005D6196" w:rsidRDefault="00187223" w:rsidP="0076559B">
            <w:pPr>
              <w:keepNext/>
              <w:spacing w:before="120" w:after="120"/>
              <w:jc w:val="center"/>
              <w:rPr>
                <w:i/>
              </w:rPr>
            </w:pPr>
            <w:r w:rsidRPr="005D6196">
              <w:rPr>
                <w:i/>
              </w:rPr>
              <w:t>method</w:t>
            </w:r>
          </w:p>
        </w:tc>
      </w:tr>
      <w:tr w:rsidR="00187223" w:rsidRPr="005D6196" w:rsidTr="008F23EA">
        <w:tc>
          <w:tcPr>
            <w:tcW w:w="2840" w:type="dxa"/>
          </w:tcPr>
          <w:p w:rsidR="00187223" w:rsidRPr="005D6196" w:rsidRDefault="00187223" w:rsidP="0076559B">
            <w:pPr>
              <w:keepNext/>
              <w:spacing w:before="120" w:after="120"/>
              <w:ind w:left="567"/>
            </w:pPr>
            <w:r w:rsidRPr="005D6196">
              <w:t>DS</w:t>
            </w:r>
            <w:r w:rsidRPr="005D6196">
              <w:rPr>
                <w:vertAlign w:val="superscript"/>
              </w:rPr>
              <w:t>-</w:t>
            </w:r>
          </w:p>
        </w:tc>
        <w:tc>
          <w:tcPr>
            <w:tcW w:w="2841" w:type="dxa"/>
          </w:tcPr>
          <w:p w:rsidR="00187223" w:rsidRPr="005D6196" w:rsidRDefault="00187223" w:rsidP="0076559B">
            <w:pPr>
              <w:keepNext/>
              <w:spacing w:before="120" w:after="120"/>
              <w:jc w:val="center"/>
              <w:rPr>
                <w:i/>
              </w:rPr>
            </w:pPr>
            <w:r w:rsidRPr="005D6196">
              <w:rPr>
                <w:i/>
              </w:rPr>
              <w:t>metaphoric apparatus</w:t>
            </w:r>
          </w:p>
        </w:tc>
        <w:tc>
          <w:tcPr>
            <w:tcW w:w="2841" w:type="dxa"/>
          </w:tcPr>
          <w:p w:rsidR="00187223" w:rsidRPr="005D6196" w:rsidRDefault="00187223" w:rsidP="0076559B">
            <w:pPr>
              <w:keepNext/>
              <w:spacing w:before="120" w:after="120"/>
              <w:jc w:val="center"/>
              <w:rPr>
                <w:i/>
              </w:rPr>
            </w:pPr>
            <w:r w:rsidRPr="005D6196">
              <w:rPr>
                <w:i/>
              </w:rPr>
              <w:t>fiction</w:t>
            </w:r>
          </w:p>
        </w:tc>
      </w:tr>
    </w:tbl>
    <w:p w:rsidR="00187223" w:rsidRPr="005D6196" w:rsidRDefault="00187223" w:rsidP="003B4FDA"/>
    <w:p w:rsidR="00187223" w:rsidRPr="005D6196" w:rsidRDefault="00187223" w:rsidP="00F848B6">
      <w:pPr>
        <w:ind w:firstLine="567"/>
      </w:pPr>
      <w:r w:rsidRPr="005D6196">
        <w:t xml:space="preserve">A crucial point should be made about this schema before I proceed. It will be apparent that it is organised on the basis of discrete, binary-scaled variables and this is generally characteristic of the schemas that comprise the external language of SAM. Essentially, this is a complete space: there are no other possibilities </w:t>
      </w:r>
      <w:r w:rsidRPr="005D6196">
        <w:rPr>
          <w:i/>
        </w:rPr>
        <w:t>if grammatical modes are conceptualised in this way</w:t>
      </w:r>
      <w:r w:rsidRPr="005D6196">
        <w:t xml:space="preserve">. This kind of scheme is often criticised as oversimplifying its concepts that, surely, should be constituted as continua. A continuum, however, can be established only where there is a metric and here there is </w:t>
      </w:r>
      <w:r w:rsidRPr="005D6196">
        <w:lastRenderedPageBreak/>
        <w:t>not.</w:t>
      </w:r>
      <w:r w:rsidRPr="005D6196">
        <w:rPr>
          <w:rStyle w:val="FootnoteReference"/>
        </w:rPr>
        <w:footnoteReference w:id="6"/>
      </w:r>
      <w:r w:rsidRPr="005D6196">
        <w:t xml:space="preserve"> The schemes do not unduly reduce complexity, because any given instance—the astrophysics example, for instance—will generally be revealed as deploying more than one strategy. It will, though, always be possible to identify single strategies by setting the level of analysis low enough. The scheme then serves as a language that can map the practice: where and under what </w:t>
      </w:r>
      <w:proofErr w:type="gramStart"/>
      <w:r w:rsidRPr="005D6196">
        <w:t>circumstances does</w:t>
      </w:r>
      <w:proofErr w:type="gramEnd"/>
      <w:r w:rsidRPr="005D6196">
        <w:t xml:space="preserve"> it operate as a </w:t>
      </w:r>
      <w:r w:rsidRPr="005D6196">
        <w:rPr>
          <w:i/>
        </w:rPr>
        <w:t>method</w:t>
      </w:r>
      <w:r w:rsidRPr="005D6196">
        <w:t xml:space="preserve">, where as a </w:t>
      </w:r>
      <w:r w:rsidRPr="005D6196">
        <w:rPr>
          <w:i/>
        </w:rPr>
        <w:t>fiction</w:t>
      </w:r>
      <w:r w:rsidRPr="005D6196">
        <w:t>, for example.</w:t>
      </w:r>
      <w:r w:rsidR="009A7263" w:rsidRPr="005D6196">
        <w:rPr>
          <w:rStyle w:val="FootnoteReference"/>
        </w:rPr>
        <w:footnoteReference w:id="7"/>
      </w:r>
      <w:r w:rsidRPr="005D6196">
        <w:t xml:space="preserve"> The lack of this facility is a key failure of Bernstein’s language that, as I have illustrated above, tends to totalise practices: mathematics, according to Bernstein, is a horizontal knowledge structure with a strong grammar; all of it and in all of its realisations, apparently.</w:t>
      </w:r>
      <w:r w:rsidRPr="005D6196">
        <w:rPr>
          <w:rStyle w:val="FootnoteReference"/>
        </w:rPr>
        <w:footnoteReference w:id="8"/>
      </w:r>
    </w:p>
    <w:p w:rsidR="00187223" w:rsidRPr="005D6196" w:rsidRDefault="00187223" w:rsidP="00F848B6">
      <w:pPr>
        <w:ind w:firstLine="567"/>
      </w:pPr>
    </w:p>
    <w:p w:rsidR="00187223" w:rsidRPr="005D6196" w:rsidRDefault="00187223" w:rsidP="00163AEB">
      <w:pPr>
        <w:keepNext/>
        <w:ind w:firstLine="567"/>
        <w:rPr>
          <w:i/>
          <w:sz w:val="28"/>
          <w:szCs w:val="28"/>
        </w:rPr>
      </w:pPr>
      <w:r w:rsidRPr="005D6196">
        <w:rPr>
          <w:i/>
          <w:sz w:val="28"/>
          <w:szCs w:val="28"/>
        </w:rPr>
        <w:t>Domains of action</w:t>
      </w:r>
    </w:p>
    <w:p w:rsidR="00187223" w:rsidRPr="005D6196" w:rsidRDefault="00187223" w:rsidP="00163AEB">
      <w:pPr>
        <w:keepNext/>
        <w:ind w:firstLine="567"/>
      </w:pPr>
    </w:p>
    <w:p w:rsidR="00187223" w:rsidRPr="005D6196" w:rsidRDefault="00187223" w:rsidP="00163AEB">
      <w:pPr>
        <w:keepNext/>
      </w:pPr>
      <w:proofErr w:type="gramStart"/>
      <w:r w:rsidRPr="005D6196">
        <w:t>So how about mathematical organisational language(s)?</w:t>
      </w:r>
      <w:proofErr w:type="gramEnd"/>
      <w:r w:rsidRPr="005D6196">
        <w:t xml:space="preserve"> Michel Foucault described the discipline as ‘the only discursive practice to have crossed at one and the same time the thresholds of positivity, epistemologization, scientificity, and formalization’ (1972; 188), but it is not clear just what Foucault may be looking at (or when) in claiming this generalisation. In his own totalising description, above, Bernstein describes mathematics (and logic) as not having empirical referents. This kind of generalisation is rather characteris</w:t>
      </w:r>
      <w:r w:rsidR="007F132E" w:rsidRPr="005D6196">
        <w:t xml:space="preserve">tic of Bernstein’s </w:t>
      </w:r>
      <w:r w:rsidRPr="005D6196">
        <w:t>(and sometimes Foucault’s) apparent lack of a sense of need of the empirical; the single example of the mathematician John Forbes Nash, whose work in game theory won him a share of the Nobel Prize in Economics in 1994</w:t>
      </w:r>
      <w:r w:rsidR="00FC42FE" w:rsidRPr="005D6196">
        <w:t>,</w:t>
      </w:r>
      <w:r w:rsidRPr="005D6196">
        <w:t xml:space="preserve"> will suffice to correct him. It is nevertheless the case that a substantial body of mathematical practice can be described as strongly </w:t>
      </w:r>
      <w:r w:rsidRPr="005D6196">
        <w:rPr>
          <w:i/>
        </w:rPr>
        <w:t>institutionalised</w:t>
      </w:r>
      <w:r w:rsidRPr="005D6196">
        <w:t xml:space="preserve"> (I</w:t>
      </w:r>
      <w:r w:rsidRPr="005D6196">
        <w:rPr>
          <w:vertAlign w:val="superscript"/>
        </w:rPr>
        <w:t>+</w:t>
      </w:r>
      <w:r w:rsidRPr="005D6196">
        <w:t xml:space="preserve">) mathematics that is specialised in respect of both form of </w:t>
      </w:r>
      <w:r w:rsidRPr="005D6196">
        <w:rPr>
          <w:i/>
        </w:rPr>
        <w:t>expression</w:t>
      </w:r>
      <w:r w:rsidRPr="005D6196">
        <w:t xml:space="preserve">—deploying the technical terminology and formal notation of mathematics—and </w:t>
      </w:r>
      <w:r w:rsidRPr="005D6196">
        <w:rPr>
          <w:i/>
        </w:rPr>
        <w:t>content</w:t>
      </w:r>
      <w:r w:rsidRPr="005D6196">
        <w:t xml:space="preserve">—constituting specifically mathematical objects and processes. Focusing particularly on school mathematics, I described this region of mathematical practice as its </w:t>
      </w:r>
      <w:r w:rsidRPr="005D6196">
        <w:rPr>
          <w:i/>
        </w:rPr>
        <w:t>esoteric domain</w:t>
      </w:r>
      <w:r w:rsidRPr="005D6196">
        <w:t xml:space="preserve"> (Dowling,</w:t>
      </w:r>
      <w:r w:rsidR="00FC42FE" w:rsidRPr="005D6196">
        <w:t xml:space="preserve"> 1995,</w:t>
      </w:r>
      <w:r w:rsidRPr="005D6196">
        <w:t xml:space="preserve"> 1998, 2009). Because it is the exclusive domain of </w:t>
      </w:r>
      <w:proofErr w:type="gramStart"/>
      <w:r w:rsidRPr="005D6196">
        <w:t>I</w:t>
      </w:r>
      <w:r w:rsidRPr="005D6196">
        <w:rPr>
          <w:vertAlign w:val="superscript"/>
        </w:rPr>
        <w:t>+</w:t>
      </w:r>
      <w:proofErr w:type="gramEnd"/>
      <w:r w:rsidRPr="005D6196">
        <w:t xml:space="preserve"> expression and content, it is only within this domain that the principles of mathematical practice can be fully elaborated. Nevertheless, not all </w:t>
      </w:r>
      <w:r w:rsidRPr="005D6196">
        <w:lastRenderedPageBreak/>
        <w:t xml:space="preserve">of mathematical practice should be described in this way. Considering the level of </w:t>
      </w:r>
      <w:proofErr w:type="gramStart"/>
      <w:r w:rsidRPr="005D6196">
        <w:rPr>
          <w:i/>
        </w:rPr>
        <w:t xml:space="preserve">institutionalisation </w:t>
      </w:r>
      <w:r w:rsidRPr="005D6196">
        <w:t xml:space="preserve"> (</w:t>
      </w:r>
      <w:proofErr w:type="gramEnd"/>
      <w:r w:rsidRPr="005D6196">
        <w:t>I</w:t>
      </w:r>
      <w:r w:rsidRPr="005D6196">
        <w:rPr>
          <w:vertAlign w:val="superscript"/>
        </w:rPr>
        <w:t>+</w:t>
      </w:r>
      <w:r w:rsidRPr="005D6196">
        <w:t>/I</w:t>
      </w:r>
      <w:r w:rsidRPr="005D6196">
        <w:rPr>
          <w:vertAlign w:val="superscript"/>
        </w:rPr>
        <w:t>-</w:t>
      </w:r>
      <w:r w:rsidRPr="005D6196">
        <w:t xml:space="preserve">) of form of </w:t>
      </w:r>
      <w:r w:rsidRPr="005D6196">
        <w:rPr>
          <w:i/>
        </w:rPr>
        <w:t>expression</w:t>
      </w:r>
      <w:r w:rsidRPr="005D6196">
        <w:t xml:space="preserve"> and </w:t>
      </w:r>
      <w:r w:rsidRPr="005D6196">
        <w:rPr>
          <w:i/>
        </w:rPr>
        <w:t>content</w:t>
      </w:r>
      <w:r w:rsidRPr="005D6196">
        <w:t xml:space="preserve"> separately yields four </w:t>
      </w:r>
      <w:r w:rsidRPr="005D6196">
        <w:rPr>
          <w:i/>
        </w:rPr>
        <w:t>domains of action</w:t>
      </w:r>
      <w:r w:rsidRPr="005D6196">
        <w:t xml:space="preserve"> as shown in Figure 2. In the remainder of this paper I want to illustrate some uses of this scheme and also to develop it.</w:t>
      </w:r>
    </w:p>
    <w:p w:rsidR="00187223" w:rsidRPr="005D6196" w:rsidRDefault="00187223" w:rsidP="00F848B6">
      <w:pPr>
        <w:ind w:firstLine="567"/>
      </w:pPr>
    </w:p>
    <w:p w:rsidR="00187223" w:rsidRPr="005D6196" w:rsidRDefault="00187223" w:rsidP="007D3E22">
      <w:pPr>
        <w:keepNext/>
      </w:pPr>
      <w:r w:rsidRPr="005D6196">
        <w:rPr>
          <w:i/>
        </w:rPr>
        <w:t xml:space="preserve">Figure 2: Domains of action scheme </w:t>
      </w:r>
      <w:r w:rsidRPr="005D6196">
        <w:t>(from Dowling 2009)</w:t>
      </w:r>
    </w:p>
    <w:p w:rsidR="00187223" w:rsidRPr="005D6196" w:rsidRDefault="00187223" w:rsidP="007D3E22">
      <w:pPr>
        <w:keepNext/>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40"/>
        <w:gridCol w:w="2841"/>
        <w:gridCol w:w="2841"/>
      </w:tblGrid>
      <w:tr w:rsidR="00187223" w:rsidRPr="005D6196" w:rsidTr="00190BAA">
        <w:tc>
          <w:tcPr>
            <w:tcW w:w="2840" w:type="dxa"/>
          </w:tcPr>
          <w:p w:rsidR="00187223" w:rsidRPr="005D6196" w:rsidRDefault="00187223" w:rsidP="007D3E22">
            <w:pPr>
              <w:keepNext/>
              <w:spacing w:before="120" w:after="120"/>
            </w:pPr>
          </w:p>
        </w:tc>
        <w:tc>
          <w:tcPr>
            <w:tcW w:w="5682" w:type="dxa"/>
            <w:gridSpan w:val="2"/>
            <w:tcBorders>
              <w:top w:val="single" w:sz="4" w:space="0" w:color="auto"/>
              <w:bottom w:val="single" w:sz="4" w:space="0" w:color="auto"/>
            </w:tcBorders>
          </w:tcPr>
          <w:p w:rsidR="00187223" w:rsidRPr="005D6196" w:rsidRDefault="00187223" w:rsidP="007D3E22">
            <w:pPr>
              <w:keepNext/>
              <w:spacing w:before="120" w:after="120"/>
              <w:jc w:val="center"/>
            </w:pPr>
            <w:r w:rsidRPr="005D6196">
              <w:t>Content</w:t>
            </w:r>
          </w:p>
        </w:tc>
      </w:tr>
      <w:tr w:rsidR="00187223" w:rsidRPr="005D6196" w:rsidTr="00190BAA">
        <w:tc>
          <w:tcPr>
            <w:tcW w:w="2840" w:type="dxa"/>
            <w:tcBorders>
              <w:bottom w:val="single" w:sz="4" w:space="0" w:color="auto"/>
            </w:tcBorders>
          </w:tcPr>
          <w:p w:rsidR="00187223" w:rsidRPr="005D6196" w:rsidRDefault="00187223" w:rsidP="007D3E22">
            <w:pPr>
              <w:keepNext/>
              <w:spacing w:before="120" w:after="120"/>
              <w:jc w:val="center"/>
            </w:pPr>
            <w:r w:rsidRPr="005D6196">
              <w:t>Expression</w:t>
            </w:r>
          </w:p>
        </w:tc>
        <w:tc>
          <w:tcPr>
            <w:tcW w:w="2841" w:type="dxa"/>
            <w:tcBorders>
              <w:top w:val="single" w:sz="4" w:space="0" w:color="auto"/>
              <w:bottom w:val="single" w:sz="4" w:space="0" w:color="auto"/>
            </w:tcBorders>
          </w:tcPr>
          <w:p w:rsidR="00187223" w:rsidRPr="005D6196" w:rsidRDefault="00187223" w:rsidP="007D3E22">
            <w:pPr>
              <w:keepNext/>
              <w:spacing w:before="120" w:after="120"/>
              <w:jc w:val="center"/>
            </w:pPr>
            <w:r w:rsidRPr="005D6196">
              <w:t>I</w:t>
            </w:r>
            <w:r w:rsidRPr="005D6196">
              <w:rPr>
                <w:vertAlign w:val="superscript"/>
              </w:rPr>
              <w:t>+</w:t>
            </w:r>
          </w:p>
        </w:tc>
        <w:tc>
          <w:tcPr>
            <w:tcW w:w="2841" w:type="dxa"/>
            <w:tcBorders>
              <w:top w:val="single" w:sz="4" w:space="0" w:color="auto"/>
              <w:bottom w:val="single" w:sz="4" w:space="0" w:color="auto"/>
            </w:tcBorders>
          </w:tcPr>
          <w:p w:rsidR="00187223" w:rsidRPr="005D6196" w:rsidRDefault="00187223" w:rsidP="007D3E22">
            <w:pPr>
              <w:keepNext/>
              <w:spacing w:before="120" w:after="120"/>
              <w:jc w:val="center"/>
            </w:pPr>
            <w:r w:rsidRPr="005D6196">
              <w:t>I</w:t>
            </w:r>
            <w:r w:rsidRPr="005D6196">
              <w:rPr>
                <w:vertAlign w:val="superscript"/>
              </w:rPr>
              <w:t>-</w:t>
            </w:r>
          </w:p>
        </w:tc>
      </w:tr>
      <w:tr w:rsidR="00187223" w:rsidRPr="005D6196" w:rsidTr="00190BAA">
        <w:tc>
          <w:tcPr>
            <w:tcW w:w="2840" w:type="dxa"/>
            <w:tcBorders>
              <w:top w:val="single" w:sz="4" w:space="0" w:color="auto"/>
            </w:tcBorders>
          </w:tcPr>
          <w:p w:rsidR="00187223" w:rsidRPr="005D6196" w:rsidRDefault="00187223" w:rsidP="007D3E22">
            <w:pPr>
              <w:keepNext/>
              <w:spacing w:before="120" w:after="120"/>
              <w:ind w:left="567"/>
            </w:pPr>
            <w:r w:rsidRPr="005D6196">
              <w:t>I</w:t>
            </w:r>
            <w:r w:rsidRPr="005D6196">
              <w:rPr>
                <w:vertAlign w:val="superscript"/>
              </w:rPr>
              <w:t>+</w:t>
            </w:r>
          </w:p>
        </w:tc>
        <w:tc>
          <w:tcPr>
            <w:tcW w:w="2841" w:type="dxa"/>
            <w:tcBorders>
              <w:top w:val="single" w:sz="4" w:space="0" w:color="auto"/>
            </w:tcBorders>
          </w:tcPr>
          <w:p w:rsidR="00187223" w:rsidRPr="005D6196" w:rsidRDefault="00187223" w:rsidP="007D3E22">
            <w:pPr>
              <w:keepNext/>
              <w:spacing w:before="120" w:after="120"/>
              <w:jc w:val="center"/>
              <w:rPr>
                <w:i/>
              </w:rPr>
            </w:pPr>
            <w:r w:rsidRPr="005D6196">
              <w:rPr>
                <w:i/>
              </w:rPr>
              <w:t>esoteric domain</w:t>
            </w:r>
          </w:p>
        </w:tc>
        <w:tc>
          <w:tcPr>
            <w:tcW w:w="2841" w:type="dxa"/>
            <w:tcBorders>
              <w:top w:val="single" w:sz="4" w:space="0" w:color="auto"/>
            </w:tcBorders>
          </w:tcPr>
          <w:p w:rsidR="00187223" w:rsidRPr="005D6196" w:rsidRDefault="00187223" w:rsidP="007D3E22">
            <w:pPr>
              <w:keepNext/>
              <w:spacing w:before="120" w:after="120"/>
              <w:jc w:val="center"/>
              <w:rPr>
                <w:i/>
              </w:rPr>
            </w:pPr>
            <w:r w:rsidRPr="005D6196">
              <w:rPr>
                <w:i/>
              </w:rPr>
              <w:t>descriptive domain</w:t>
            </w:r>
          </w:p>
        </w:tc>
      </w:tr>
      <w:tr w:rsidR="00187223" w:rsidRPr="005D6196" w:rsidTr="00190BAA">
        <w:tc>
          <w:tcPr>
            <w:tcW w:w="2840" w:type="dxa"/>
          </w:tcPr>
          <w:p w:rsidR="00187223" w:rsidRPr="005D6196" w:rsidRDefault="00187223" w:rsidP="007D3E22">
            <w:pPr>
              <w:keepNext/>
              <w:spacing w:before="120" w:after="120"/>
              <w:ind w:left="567"/>
            </w:pPr>
            <w:r w:rsidRPr="005D6196">
              <w:t>I</w:t>
            </w:r>
            <w:r w:rsidRPr="005D6196">
              <w:rPr>
                <w:vertAlign w:val="superscript"/>
              </w:rPr>
              <w:t>-</w:t>
            </w:r>
          </w:p>
        </w:tc>
        <w:tc>
          <w:tcPr>
            <w:tcW w:w="2841" w:type="dxa"/>
          </w:tcPr>
          <w:p w:rsidR="00187223" w:rsidRPr="005D6196" w:rsidRDefault="00187223" w:rsidP="007D3E22">
            <w:pPr>
              <w:keepNext/>
              <w:spacing w:before="120" w:after="120"/>
              <w:jc w:val="center"/>
              <w:rPr>
                <w:i/>
              </w:rPr>
            </w:pPr>
            <w:r w:rsidRPr="005D6196">
              <w:rPr>
                <w:i/>
              </w:rPr>
              <w:t>expressive domain</w:t>
            </w:r>
          </w:p>
        </w:tc>
        <w:tc>
          <w:tcPr>
            <w:tcW w:w="2841" w:type="dxa"/>
          </w:tcPr>
          <w:p w:rsidR="00187223" w:rsidRPr="005D6196" w:rsidRDefault="00187223" w:rsidP="007D3E22">
            <w:pPr>
              <w:keepNext/>
              <w:spacing w:before="120" w:after="120"/>
              <w:jc w:val="center"/>
              <w:rPr>
                <w:i/>
              </w:rPr>
            </w:pPr>
            <w:r w:rsidRPr="005D6196">
              <w:rPr>
                <w:i/>
              </w:rPr>
              <w:t>public domain</w:t>
            </w:r>
          </w:p>
        </w:tc>
      </w:tr>
    </w:tbl>
    <w:p w:rsidR="00187223" w:rsidRPr="005D6196" w:rsidRDefault="00187223" w:rsidP="00190BAA"/>
    <w:p w:rsidR="00187223" w:rsidRPr="005D6196" w:rsidRDefault="00187223" w:rsidP="00B8516B">
      <w:pPr>
        <w:ind w:firstLine="567"/>
      </w:pPr>
      <w:r w:rsidRPr="005D6196">
        <w:t>In Dowling (</w:t>
      </w:r>
      <w:r w:rsidR="00FC42FE" w:rsidRPr="005D6196">
        <w:t xml:space="preserve">1998, </w:t>
      </w:r>
      <w:r w:rsidRPr="005D6196">
        <w:t xml:space="preserve">2009) I described the </w:t>
      </w:r>
      <w:r w:rsidRPr="005D6196">
        <w:rPr>
          <w:i/>
        </w:rPr>
        <w:t>public domain</w:t>
      </w:r>
      <w:r w:rsidRPr="005D6196">
        <w:t xml:space="preserve"> as the product of a </w:t>
      </w:r>
      <w:r w:rsidRPr="005D6196">
        <w:rPr>
          <w:i/>
        </w:rPr>
        <w:t>gaze</w:t>
      </w:r>
      <w:r w:rsidRPr="005D6196">
        <w:t xml:space="preserve"> cast by the subject of </w:t>
      </w:r>
      <w:r w:rsidRPr="005D6196">
        <w:rPr>
          <w:i/>
        </w:rPr>
        <w:t xml:space="preserve">esoteric domain </w:t>
      </w:r>
      <w:r w:rsidRPr="005D6196">
        <w:t>action beyond I</w:t>
      </w:r>
      <w:r w:rsidRPr="005D6196">
        <w:rPr>
          <w:vertAlign w:val="superscript"/>
        </w:rPr>
        <w:t>+</w:t>
      </w:r>
      <w:r w:rsidRPr="005D6196">
        <w:t xml:space="preserve"> mathematics, </w:t>
      </w:r>
      <w:r w:rsidRPr="005D6196">
        <w:rPr>
          <w:i/>
        </w:rPr>
        <w:t>recontextualising</w:t>
      </w:r>
      <w:r w:rsidRPr="005D6196">
        <w:t xml:space="preserve"> non-mathematical practice—such as shopping—by organising it in conformity with mathematical principles. Now, as I have presented the situation here, this formulation is in need of some adjustment, because, insofar as the </w:t>
      </w:r>
      <w:r w:rsidRPr="005D6196">
        <w:rPr>
          <w:i/>
        </w:rPr>
        <w:t>esoteric domain</w:t>
      </w:r>
      <w:r w:rsidRPr="005D6196">
        <w:t xml:space="preserve"> comprises essentially self-referential, </w:t>
      </w:r>
      <w:proofErr w:type="gramStart"/>
      <w:r w:rsidRPr="005D6196">
        <w:t>I</w:t>
      </w:r>
      <w:r w:rsidRPr="005D6196">
        <w:rPr>
          <w:vertAlign w:val="superscript"/>
        </w:rPr>
        <w:t>+</w:t>
      </w:r>
      <w:proofErr w:type="gramEnd"/>
      <w:r w:rsidRPr="005D6196">
        <w:t xml:space="preserve"> </w:t>
      </w:r>
      <w:r w:rsidRPr="005D6196">
        <w:rPr>
          <w:i/>
        </w:rPr>
        <w:t>expression</w:t>
      </w:r>
      <w:r w:rsidRPr="005D6196">
        <w:t xml:space="preserve"> and </w:t>
      </w:r>
      <w:r w:rsidRPr="005D6196">
        <w:rPr>
          <w:i/>
        </w:rPr>
        <w:t>content</w:t>
      </w:r>
      <w:r w:rsidRPr="005D6196">
        <w:t xml:space="preserve">, it should be described as a </w:t>
      </w:r>
      <w:r w:rsidRPr="005D6196">
        <w:rPr>
          <w:i/>
        </w:rPr>
        <w:t>metaphoric apparatus</w:t>
      </w:r>
      <w:r w:rsidRPr="005D6196">
        <w:t xml:space="preserve">, which is to say, it has no external language that would enable the </w:t>
      </w:r>
      <w:r w:rsidRPr="005D6196">
        <w:rPr>
          <w:i/>
        </w:rPr>
        <w:t>gaze</w:t>
      </w:r>
      <w:r w:rsidRPr="005D6196">
        <w:t xml:space="preserve">. I now want to describe the esoteric domain of school mathematics as an </w:t>
      </w:r>
      <w:r w:rsidRPr="005D6196">
        <w:rPr>
          <w:i/>
        </w:rPr>
        <w:t>assemblage</w:t>
      </w:r>
      <w:r w:rsidRPr="005D6196">
        <w:t xml:space="preserve"> (see, for example, Turnbull, 2000) or perhaps as a </w:t>
      </w:r>
      <w:r w:rsidRPr="005D6196">
        <w:rPr>
          <w:i/>
        </w:rPr>
        <w:t>rhizome</w:t>
      </w:r>
      <w:r w:rsidRPr="005D6196">
        <w:t xml:space="preserve"> (Deleuze &amp; Guattari, 1987) that articulates esoteric domain mathematics as I have described it thus far with pedagogic theory that is more or less explicit (DS</w:t>
      </w:r>
      <w:r w:rsidRPr="005D6196">
        <w:rPr>
          <w:vertAlign w:val="superscript"/>
        </w:rPr>
        <w:t>+</w:t>
      </w:r>
      <w:r w:rsidRPr="005D6196">
        <w:t>/DS</w:t>
      </w:r>
      <w:r w:rsidR="003C3093" w:rsidRPr="005D6196">
        <w:rPr>
          <w:vertAlign w:val="superscript"/>
        </w:rPr>
        <w:t>-</w:t>
      </w:r>
      <w:r w:rsidRPr="005D6196">
        <w:t xml:space="preserve">) and that serves to </w:t>
      </w:r>
      <w:r w:rsidRPr="005D6196">
        <w:rPr>
          <w:i/>
        </w:rPr>
        <w:t>fetch</w:t>
      </w:r>
      <w:r w:rsidRPr="005D6196">
        <w:t xml:space="preserve"> non-mathematical content and expression and organise it in such a way as to align with mathematical content and expression. Here is an example taken from the June 2010 Foundation Tier General Certificate of Secondary Education (GCSE) paper:</w:t>
      </w:r>
    </w:p>
    <w:p w:rsidR="00187223" w:rsidRPr="005D6196" w:rsidRDefault="00187223" w:rsidP="00CA3A15">
      <w:pPr>
        <w:pStyle w:val="Quote"/>
      </w:pPr>
    </w:p>
    <w:p w:rsidR="00187223" w:rsidRPr="005D6196" w:rsidRDefault="00187223" w:rsidP="00CA3A15">
      <w:pPr>
        <w:pStyle w:val="Quote"/>
      </w:pPr>
      <w:r w:rsidRPr="005D6196">
        <w:t xml:space="preserve">A restaurant offers a family discount. The Taylor family have a meal at this restaurant. Before the discount the meal costs £140 After the discount the cost is £112 </w:t>
      </w:r>
      <w:r w:rsidRPr="005D6196">
        <w:rPr>
          <w:rFonts w:ascii="Times" w:hAnsi="Times" w:cs="Times"/>
        </w:rPr>
        <w:t> </w:t>
      </w:r>
      <w:r w:rsidRPr="005D6196">
        <w:t>Calculate the percentage discount.</w:t>
      </w:r>
    </w:p>
    <w:p w:rsidR="00187223" w:rsidRPr="005D6196" w:rsidRDefault="00187223" w:rsidP="00CA3A15">
      <w:pPr>
        <w:pStyle w:val="Quote"/>
        <w:jc w:val="right"/>
        <w:rPr>
          <w:rFonts w:ascii="Times" w:hAnsi="Times" w:cs="Times"/>
        </w:rPr>
      </w:pPr>
      <w:r w:rsidRPr="005D6196">
        <w:t>(p. 21, item 22)</w:t>
      </w:r>
      <w:r w:rsidRPr="005D6196">
        <w:rPr>
          <w:rStyle w:val="FootnoteReference"/>
        </w:rPr>
        <w:footnoteReference w:id="9"/>
      </w:r>
      <w:r w:rsidRPr="005D6196">
        <w:t xml:space="preserve"> </w:t>
      </w:r>
    </w:p>
    <w:p w:rsidR="00187223" w:rsidRPr="005D6196" w:rsidRDefault="00187223" w:rsidP="00CA3A15"/>
    <w:p w:rsidR="00187223" w:rsidRPr="005D6196" w:rsidRDefault="00187223" w:rsidP="00CA3A15">
      <w:r w:rsidRPr="005D6196">
        <w:t>The nature of the recontextualisation is clear: the parameters are organised so that the cost of the meal before and after the application of the discount is known, whilst the amount of the discount is unknown—rendering this a rather improbable (though not, I suppose, impossi</w:t>
      </w:r>
      <w:r w:rsidR="00F34201" w:rsidRPr="005D6196">
        <w:t>ble) problem in the restaurant—</w:t>
      </w:r>
      <w:r w:rsidRPr="005D6196">
        <w:t xml:space="preserve">and the amounts of money involved are arranged so that the answer comes out to a simple figure (20%). The example is </w:t>
      </w:r>
      <w:r w:rsidRPr="005D6196">
        <w:rPr>
          <w:i/>
        </w:rPr>
        <w:t>public domain</w:t>
      </w:r>
      <w:r w:rsidRPr="005D6196">
        <w:t xml:space="preserve"> because both the setting—</w:t>
      </w:r>
      <w:r w:rsidRPr="005D6196">
        <w:rPr>
          <w:i/>
        </w:rPr>
        <w:t>content</w:t>
      </w:r>
      <w:r w:rsidRPr="005D6196">
        <w:t xml:space="preserve">—and mode of </w:t>
      </w:r>
      <w:r w:rsidRPr="005D6196">
        <w:rPr>
          <w:i/>
        </w:rPr>
        <w:t>expression</w:t>
      </w:r>
      <w:r w:rsidRPr="005D6196">
        <w:t xml:space="preserve"> are non-mathematical. The next item—from the November 2009 Higher Tier GCSE paper—is coded as </w:t>
      </w:r>
      <w:r w:rsidRPr="005D6196">
        <w:rPr>
          <w:i/>
        </w:rPr>
        <w:t>descriptive domain</w:t>
      </w:r>
      <w:r w:rsidRPr="005D6196">
        <w:t xml:space="preserve"> because, whilst the setting—</w:t>
      </w:r>
      <w:r w:rsidRPr="005D6196">
        <w:rPr>
          <w:i/>
        </w:rPr>
        <w:t>content</w:t>
      </w:r>
      <w:r w:rsidRPr="005D6196">
        <w:t>—concerns the pricing of newspapers and magazines</w:t>
      </w:r>
      <w:r w:rsidR="00F34201" w:rsidRPr="005D6196">
        <w:t xml:space="preserve"> and is non-mathematical</w:t>
      </w:r>
      <w:r w:rsidRPr="005D6196">
        <w:t>, the text incorporates I</w:t>
      </w:r>
      <w:r w:rsidRPr="005D6196">
        <w:rPr>
          <w:vertAlign w:val="superscript"/>
        </w:rPr>
        <w:t>+</w:t>
      </w:r>
      <w:r w:rsidRPr="005D6196">
        <w:t xml:space="preserve"> mathematical </w:t>
      </w:r>
      <w:r w:rsidRPr="005D6196">
        <w:rPr>
          <w:i/>
        </w:rPr>
        <w:t>expression</w:t>
      </w:r>
      <w:r w:rsidRPr="005D6196">
        <w:t>:</w:t>
      </w:r>
    </w:p>
    <w:p w:rsidR="00187223" w:rsidRPr="005D6196" w:rsidRDefault="00187223" w:rsidP="004B65A7">
      <w:pPr>
        <w:pStyle w:val="Quote"/>
      </w:pPr>
    </w:p>
    <w:p w:rsidR="00187223" w:rsidRPr="005D6196" w:rsidRDefault="00187223" w:rsidP="004B65A7">
      <w:pPr>
        <w:pStyle w:val="Quote"/>
      </w:pPr>
      <w:r w:rsidRPr="005D6196">
        <w:lastRenderedPageBreak/>
        <w:t xml:space="preserve">The cost of a newspaper is </w:t>
      </w:r>
      <w:r w:rsidRPr="005D6196">
        <w:rPr>
          <w:i/>
        </w:rPr>
        <w:t xml:space="preserve">x </w:t>
      </w:r>
      <w:r w:rsidRPr="005D6196">
        <w:t>pence. The cost of a magazine is £1.25 more than the newspaper. The cost of three of these magazines is the same as the cost of eight of these newspapers.</w:t>
      </w:r>
    </w:p>
    <w:p w:rsidR="00187223" w:rsidRPr="005D6196" w:rsidRDefault="00187223" w:rsidP="004B65A7"/>
    <w:p w:rsidR="00187223" w:rsidRPr="005D6196" w:rsidRDefault="00187223" w:rsidP="004B65A7">
      <w:pPr>
        <w:pStyle w:val="Quote"/>
      </w:pPr>
      <w:r w:rsidRPr="005D6196">
        <w:t xml:space="preserve">Show </w:t>
      </w:r>
      <w:r w:rsidRPr="005D6196">
        <w:rPr>
          <w:b/>
          <w:bCs/>
        </w:rPr>
        <w:t xml:space="preserve">clearly </w:t>
      </w:r>
      <w:r w:rsidRPr="005D6196">
        <w:t>that 3x + 375 = 8x</w:t>
      </w:r>
    </w:p>
    <w:p w:rsidR="00187223" w:rsidRPr="005D6196" w:rsidRDefault="00187223" w:rsidP="004B65A7">
      <w:pPr>
        <w:pStyle w:val="Quote"/>
        <w:jc w:val="right"/>
      </w:pPr>
      <w:r w:rsidRPr="005D6196">
        <w:t>(p. 4, item 4(a))</w:t>
      </w:r>
    </w:p>
    <w:p w:rsidR="00187223" w:rsidRPr="005D6196" w:rsidRDefault="00187223" w:rsidP="004B65A7">
      <w:r w:rsidRPr="005D6196">
        <w:t>Here is another item from the June 2010 Foundation Tier paper:</w:t>
      </w:r>
    </w:p>
    <w:p w:rsidR="00187223" w:rsidRPr="005D6196" w:rsidRDefault="00187223" w:rsidP="004B65A7"/>
    <w:p w:rsidR="00187223" w:rsidRPr="005D6196" w:rsidRDefault="00187223" w:rsidP="00823AE5">
      <w:pPr>
        <w:pStyle w:val="Quote"/>
      </w:pPr>
      <w:r w:rsidRPr="005D6196">
        <w:t>Jack has a box of 100 coloured discs. The discs are Red, Blue, Green and Yellow. The table shows some of the probabilities of choosing a colour.</w:t>
      </w:r>
    </w:p>
    <w:p w:rsidR="00187223" w:rsidRPr="005D6196" w:rsidRDefault="00187223" w:rsidP="00823AE5">
      <w:pPr>
        <w:pStyle w:val="Quote"/>
      </w:pPr>
    </w:p>
    <w:tbl>
      <w:tblPr>
        <w:tblStyle w:val="TableGrid"/>
        <w:tblW w:w="7338" w:type="dxa"/>
        <w:tblInd w:w="567" w:type="dxa"/>
        <w:tblLayout w:type="fixed"/>
        <w:tblLook w:val="04A0"/>
      </w:tblPr>
      <w:tblGrid>
        <w:gridCol w:w="1668"/>
        <w:gridCol w:w="1406"/>
        <w:gridCol w:w="1451"/>
        <w:gridCol w:w="1395"/>
        <w:gridCol w:w="1418"/>
      </w:tblGrid>
      <w:tr w:rsidR="00187223" w:rsidRPr="005D6196" w:rsidTr="00823AE5">
        <w:tc>
          <w:tcPr>
            <w:tcW w:w="1668" w:type="dxa"/>
          </w:tcPr>
          <w:p w:rsidR="00187223" w:rsidRPr="005D6196" w:rsidRDefault="00187223" w:rsidP="00823AE5">
            <w:pPr>
              <w:pStyle w:val="Quote"/>
              <w:spacing w:before="60" w:after="60"/>
              <w:ind w:left="-142" w:right="-108"/>
              <w:jc w:val="center"/>
              <w:rPr>
                <w:b/>
              </w:rPr>
            </w:pPr>
            <w:r w:rsidRPr="005D6196">
              <w:rPr>
                <w:b/>
              </w:rPr>
              <w:t>Colour</w:t>
            </w:r>
          </w:p>
        </w:tc>
        <w:tc>
          <w:tcPr>
            <w:tcW w:w="1406" w:type="dxa"/>
          </w:tcPr>
          <w:p w:rsidR="00187223" w:rsidRPr="005D6196" w:rsidRDefault="00187223" w:rsidP="00823AE5">
            <w:pPr>
              <w:pStyle w:val="Quote"/>
              <w:spacing w:before="60" w:after="60"/>
              <w:ind w:left="-142" w:right="-108"/>
              <w:jc w:val="center"/>
            </w:pPr>
            <w:r w:rsidRPr="005D6196">
              <w:t>Red</w:t>
            </w:r>
          </w:p>
        </w:tc>
        <w:tc>
          <w:tcPr>
            <w:tcW w:w="1451" w:type="dxa"/>
          </w:tcPr>
          <w:p w:rsidR="00187223" w:rsidRPr="005D6196" w:rsidRDefault="00187223" w:rsidP="00823AE5">
            <w:pPr>
              <w:pStyle w:val="Quote"/>
              <w:spacing w:before="60" w:after="60"/>
              <w:ind w:left="-142" w:right="-108"/>
              <w:jc w:val="center"/>
            </w:pPr>
            <w:r w:rsidRPr="005D6196">
              <w:t>Blue</w:t>
            </w:r>
          </w:p>
        </w:tc>
        <w:tc>
          <w:tcPr>
            <w:tcW w:w="1395" w:type="dxa"/>
          </w:tcPr>
          <w:p w:rsidR="00187223" w:rsidRPr="005D6196" w:rsidRDefault="00187223" w:rsidP="00823AE5">
            <w:pPr>
              <w:pStyle w:val="Quote"/>
              <w:spacing w:before="60" w:after="60"/>
              <w:ind w:left="-142" w:right="-108"/>
              <w:jc w:val="center"/>
            </w:pPr>
            <w:r w:rsidRPr="005D6196">
              <w:t>Green</w:t>
            </w:r>
          </w:p>
        </w:tc>
        <w:tc>
          <w:tcPr>
            <w:tcW w:w="1418" w:type="dxa"/>
          </w:tcPr>
          <w:p w:rsidR="00187223" w:rsidRPr="005D6196" w:rsidRDefault="00187223" w:rsidP="00823AE5">
            <w:pPr>
              <w:pStyle w:val="Quote"/>
              <w:spacing w:before="60" w:after="60"/>
              <w:ind w:left="-142" w:right="-108"/>
              <w:jc w:val="center"/>
            </w:pPr>
            <w:r w:rsidRPr="005D6196">
              <w:t>Yellow</w:t>
            </w:r>
          </w:p>
        </w:tc>
      </w:tr>
      <w:tr w:rsidR="00187223" w:rsidRPr="005D6196" w:rsidTr="00823AE5">
        <w:tc>
          <w:tcPr>
            <w:tcW w:w="1668" w:type="dxa"/>
          </w:tcPr>
          <w:p w:rsidR="00187223" w:rsidRPr="005D6196" w:rsidRDefault="00187223" w:rsidP="00823AE5">
            <w:pPr>
              <w:pStyle w:val="Quote"/>
              <w:spacing w:before="60" w:after="60"/>
              <w:ind w:left="-142" w:right="-108"/>
              <w:jc w:val="center"/>
              <w:rPr>
                <w:b/>
              </w:rPr>
            </w:pPr>
            <w:r w:rsidRPr="005D6196">
              <w:rPr>
                <w:b/>
              </w:rPr>
              <w:t>Probability</w:t>
            </w:r>
          </w:p>
        </w:tc>
        <w:tc>
          <w:tcPr>
            <w:tcW w:w="1406" w:type="dxa"/>
          </w:tcPr>
          <w:p w:rsidR="00187223" w:rsidRPr="005D6196" w:rsidRDefault="00187223" w:rsidP="00823AE5">
            <w:pPr>
              <w:pStyle w:val="Quote"/>
              <w:spacing w:before="60" w:after="60"/>
              <w:ind w:left="-142" w:right="-108"/>
              <w:jc w:val="center"/>
            </w:pPr>
            <w:r w:rsidRPr="005D6196">
              <w:t>0.6</w:t>
            </w:r>
          </w:p>
        </w:tc>
        <w:tc>
          <w:tcPr>
            <w:tcW w:w="1451" w:type="dxa"/>
          </w:tcPr>
          <w:p w:rsidR="00187223" w:rsidRPr="005D6196" w:rsidRDefault="00187223" w:rsidP="00823AE5">
            <w:pPr>
              <w:pStyle w:val="Quote"/>
              <w:spacing w:before="60" w:after="60"/>
              <w:ind w:left="-142" w:right="-108"/>
              <w:jc w:val="center"/>
            </w:pPr>
            <w:r w:rsidRPr="005D6196">
              <w:t>0.1</w:t>
            </w:r>
          </w:p>
        </w:tc>
        <w:tc>
          <w:tcPr>
            <w:tcW w:w="1395" w:type="dxa"/>
          </w:tcPr>
          <w:p w:rsidR="00187223" w:rsidRPr="005D6196" w:rsidRDefault="00187223" w:rsidP="00823AE5">
            <w:pPr>
              <w:pStyle w:val="Quote"/>
              <w:spacing w:before="60" w:after="60"/>
              <w:ind w:left="-142" w:right="-108"/>
              <w:jc w:val="center"/>
            </w:pPr>
          </w:p>
        </w:tc>
        <w:tc>
          <w:tcPr>
            <w:tcW w:w="1418" w:type="dxa"/>
          </w:tcPr>
          <w:p w:rsidR="00187223" w:rsidRPr="005D6196" w:rsidRDefault="00187223" w:rsidP="00823AE5">
            <w:pPr>
              <w:pStyle w:val="Quote"/>
              <w:spacing w:before="60" w:after="60"/>
              <w:ind w:left="-142" w:right="-108"/>
              <w:jc w:val="center"/>
            </w:pPr>
            <w:r w:rsidRPr="005D6196">
              <w:t>0.1</w:t>
            </w:r>
          </w:p>
        </w:tc>
      </w:tr>
    </w:tbl>
    <w:p w:rsidR="00187223" w:rsidRPr="005D6196" w:rsidRDefault="00187223" w:rsidP="00823AE5">
      <w:pPr>
        <w:pStyle w:val="Quote"/>
      </w:pPr>
    </w:p>
    <w:p w:rsidR="00187223" w:rsidRPr="005D6196" w:rsidRDefault="00187223" w:rsidP="00823AE5">
      <w:pPr>
        <w:pStyle w:val="Quote"/>
      </w:pPr>
      <w:r w:rsidRPr="005D6196">
        <w:t>Which coloured disc is the most common?</w:t>
      </w:r>
    </w:p>
    <w:p w:rsidR="00187223" w:rsidRPr="005D6196" w:rsidRDefault="00187223" w:rsidP="00823AE5">
      <w:pPr>
        <w:pStyle w:val="Quote"/>
        <w:jc w:val="right"/>
      </w:pPr>
      <w:r w:rsidRPr="005D6196">
        <w:t>(p. 14, item 15(a))</w:t>
      </w:r>
    </w:p>
    <w:p w:rsidR="00187223" w:rsidRPr="005D6196" w:rsidRDefault="00187223" w:rsidP="004B65A7"/>
    <w:p w:rsidR="00187223" w:rsidRPr="005D6196" w:rsidRDefault="00187223" w:rsidP="00E53622">
      <w:pPr>
        <w:rPr>
          <w:rFonts w:eastAsia="ＭＳ 明朝" w:cs="Times New Roman"/>
          <w:lang w:eastAsia="ja-JP"/>
        </w:rPr>
      </w:pPr>
      <w:r w:rsidRPr="005D6196">
        <w:rPr>
          <w:rFonts w:cs="Times New Roman"/>
        </w:rPr>
        <w:t>Essentially, the setting—</w:t>
      </w:r>
      <w:r w:rsidRPr="005D6196">
        <w:rPr>
          <w:rFonts w:cs="Times New Roman"/>
          <w:i/>
        </w:rPr>
        <w:t>content</w:t>
      </w:r>
      <w:r w:rsidRPr="005D6196">
        <w:rPr>
          <w:rFonts w:cs="Times New Roman"/>
        </w:rPr>
        <w:t>—here is I</w:t>
      </w:r>
      <w:r w:rsidRPr="005D6196">
        <w:rPr>
          <w:rFonts w:cs="Times New Roman"/>
          <w:vertAlign w:val="superscript"/>
        </w:rPr>
        <w:t>+</w:t>
      </w:r>
      <w:r w:rsidRPr="005D6196">
        <w:rPr>
          <w:rFonts w:cs="Times New Roman"/>
        </w:rPr>
        <w:t xml:space="preserve"> mathematics—probability—but it is </w:t>
      </w:r>
      <w:r w:rsidRPr="005D6196">
        <w:rPr>
          <w:rFonts w:cs="Times New Roman"/>
          <w:i/>
        </w:rPr>
        <w:t>expressed</w:t>
      </w:r>
      <w:r w:rsidRPr="005D6196">
        <w:rPr>
          <w:rFonts w:cs="Times New Roman"/>
        </w:rPr>
        <w:t xml:space="preserve"> using, primarily, non-mathematical signifiers—coloured discs; this is an </w:t>
      </w:r>
      <w:r w:rsidRPr="005D6196">
        <w:rPr>
          <w:rFonts w:cs="Times New Roman"/>
          <w:i/>
        </w:rPr>
        <w:t>expressive domain</w:t>
      </w:r>
      <w:r w:rsidRPr="005D6196">
        <w:rPr>
          <w:rFonts w:cs="Times New Roman"/>
        </w:rPr>
        <w:t xml:space="preserve"> strategy.</w:t>
      </w:r>
      <w:r w:rsidRPr="005D6196">
        <w:rPr>
          <w:rStyle w:val="FootnoteReference"/>
        </w:rPr>
        <w:footnoteReference w:id="10"/>
      </w:r>
      <w:r w:rsidRPr="005D6196">
        <w:rPr>
          <w:rFonts w:cs="Times New Roman"/>
        </w:rPr>
        <w:t xml:space="preserve"> It appears that probability is commonly presented by </w:t>
      </w:r>
      <w:r w:rsidRPr="005D6196">
        <w:rPr>
          <w:rFonts w:cs="Times New Roman"/>
          <w:i/>
        </w:rPr>
        <w:t xml:space="preserve">expressive domain </w:t>
      </w:r>
      <w:r w:rsidRPr="005D6196">
        <w:rPr>
          <w:rFonts w:cs="Times New Roman"/>
        </w:rPr>
        <w:t>st</w:t>
      </w:r>
      <w:r w:rsidRPr="005D6196">
        <w:rPr>
          <w:rFonts w:eastAsia="ＭＳ 明朝" w:cs="Times New Roman"/>
          <w:lang w:eastAsia="ja-JP"/>
        </w:rPr>
        <w:t xml:space="preserve">rategies. This is consistent in the 2009 and 2010 GCSE papers and also in the mathematics textbooks that I analysed in some detail some time ago (see Dowling, 1995, 1998). Insofar as school mathematics is generally constructed in this way, then access to the </w:t>
      </w:r>
      <w:r w:rsidRPr="005D6196">
        <w:rPr>
          <w:rFonts w:eastAsia="ＭＳ 明朝" w:cs="Times New Roman"/>
          <w:i/>
          <w:lang w:eastAsia="ja-JP"/>
        </w:rPr>
        <w:t>esoteric domain</w:t>
      </w:r>
      <w:r w:rsidRPr="005D6196">
        <w:rPr>
          <w:rFonts w:eastAsia="ＭＳ 明朝" w:cs="Times New Roman"/>
          <w:lang w:eastAsia="ja-JP"/>
        </w:rPr>
        <w:t xml:space="preserve"> in this area is being </w:t>
      </w:r>
      <w:r w:rsidR="000D4C8E" w:rsidRPr="005D6196">
        <w:rPr>
          <w:rFonts w:eastAsia="ＭＳ 明朝" w:cs="Times New Roman"/>
          <w:lang w:eastAsia="ja-JP"/>
        </w:rPr>
        <w:t>restricted, possibly explaining why probability is often found to be a difficult topic</w:t>
      </w:r>
      <w:r w:rsidRPr="005D6196">
        <w:rPr>
          <w:rFonts w:eastAsia="ＭＳ 明朝" w:cs="Times New Roman"/>
          <w:lang w:eastAsia="ja-JP"/>
        </w:rPr>
        <w:t>.</w:t>
      </w:r>
      <w:r w:rsidRPr="005D6196">
        <w:rPr>
          <w:rFonts w:eastAsia="ＭＳ 明朝" w:cs="Times New Roman"/>
          <w:lang w:eastAsia="ja-JP"/>
        </w:rPr>
        <w:t xml:space="preserve">　</w:t>
      </w:r>
      <w:r w:rsidRPr="005D6196">
        <w:rPr>
          <w:rFonts w:eastAsia="ＭＳ 明朝" w:cs="Times New Roman"/>
          <w:lang w:eastAsia="ja-JP"/>
        </w:rPr>
        <w:t xml:space="preserve">Finally, </w:t>
      </w:r>
      <w:r w:rsidRPr="005D6196">
        <w:rPr>
          <w:rFonts w:eastAsia="ＭＳ 明朝" w:cs="Times New Roman"/>
          <w:i/>
          <w:lang w:eastAsia="ja-JP"/>
        </w:rPr>
        <w:t>esoteric domain</w:t>
      </w:r>
      <w:r w:rsidRPr="005D6196">
        <w:rPr>
          <w:rFonts w:eastAsia="ＭＳ 明朝" w:cs="Times New Roman"/>
          <w:lang w:eastAsia="ja-JP"/>
        </w:rPr>
        <w:t xml:space="preserve"> strategies involve </w:t>
      </w:r>
      <w:proofErr w:type="gramStart"/>
      <w:r w:rsidRPr="005D6196">
        <w:rPr>
          <w:rFonts w:eastAsia="ＭＳ 明朝" w:cs="Times New Roman"/>
          <w:lang w:eastAsia="ja-JP"/>
        </w:rPr>
        <w:t>both I</w:t>
      </w:r>
      <w:proofErr w:type="gramEnd"/>
      <w:r w:rsidRPr="005D6196">
        <w:rPr>
          <w:rFonts w:eastAsia="ＭＳ 明朝" w:cs="Times New Roman"/>
          <w:vertAlign w:val="superscript"/>
          <w:lang w:eastAsia="ja-JP"/>
        </w:rPr>
        <w:t>+</w:t>
      </w:r>
      <w:r w:rsidRPr="005D6196">
        <w:rPr>
          <w:rFonts w:eastAsia="ＭＳ 明朝" w:cs="Times New Roman"/>
          <w:lang w:eastAsia="ja-JP"/>
        </w:rPr>
        <w:t xml:space="preserve"> </w:t>
      </w:r>
      <w:r w:rsidRPr="005D6196">
        <w:rPr>
          <w:rFonts w:eastAsia="ＭＳ 明朝" w:cs="Times New Roman"/>
          <w:i/>
          <w:lang w:eastAsia="ja-JP"/>
        </w:rPr>
        <w:t>expression</w:t>
      </w:r>
      <w:r w:rsidRPr="005D6196">
        <w:rPr>
          <w:rFonts w:eastAsia="ＭＳ 明朝" w:cs="Times New Roman"/>
          <w:lang w:eastAsia="ja-JP"/>
        </w:rPr>
        <w:t xml:space="preserve"> and </w:t>
      </w:r>
      <w:r w:rsidRPr="005D6196">
        <w:rPr>
          <w:rFonts w:eastAsia="ＭＳ 明朝" w:cs="Times New Roman"/>
          <w:i/>
          <w:lang w:eastAsia="ja-JP"/>
        </w:rPr>
        <w:t>content</w:t>
      </w:r>
      <w:r w:rsidRPr="005D6196">
        <w:rPr>
          <w:rFonts w:eastAsia="ＭＳ 明朝" w:cs="Times New Roman"/>
          <w:lang w:eastAsia="ja-JP"/>
        </w:rPr>
        <w:t>, for example (from the November 2009 Higher Tier paper):</w:t>
      </w:r>
    </w:p>
    <w:p w:rsidR="00187223" w:rsidRPr="005D6196" w:rsidRDefault="00187223" w:rsidP="00077095">
      <w:pPr>
        <w:pStyle w:val="Quote"/>
      </w:pPr>
    </w:p>
    <w:p w:rsidR="00187223" w:rsidRPr="005D6196" w:rsidRDefault="00187223" w:rsidP="00A707D1">
      <w:pPr>
        <w:pStyle w:val="Quote"/>
        <w:keepNext/>
        <w:tabs>
          <w:tab w:val="left" w:pos="3969"/>
        </w:tabs>
      </w:pPr>
      <w:r w:rsidRPr="005D6196">
        <w:t>Solve the simultaneous equations</w:t>
      </w:r>
      <w:r w:rsidRPr="005D6196">
        <w:tab/>
        <w:t>3</w:t>
      </w:r>
      <w:r w:rsidRPr="005D6196">
        <w:rPr>
          <w:i/>
        </w:rPr>
        <w:t>x</w:t>
      </w:r>
      <w:r w:rsidRPr="005D6196">
        <w:t>–2</w:t>
      </w:r>
      <w:r w:rsidRPr="005D6196">
        <w:rPr>
          <w:i/>
        </w:rPr>
        <w:t>y</w:t>
      </w:r>
      <w:r w:rsidRPr="005D6196">
        <w:t>= 9</w:t>
      </w:r>
    </w:p>
    <w:p w:rsidR="00187223" w:rsidRPr="005D6196" w:rsidRDefault="00187223" w:rsidP="00A707D1">
      <w:pPr>
        <w:pStyle w:val="Quote"/>
        <w:keepNext/>
        <w:tabs>
          <w:tab w:val="left" w:pos="3969"/>
        </w:tabs>
      </w:pPr>
      <w:r w:rsidRPr="005D6196">
        <w:rPr>
          <w:i/>
        </w:rPr>
        <w:tab/>
        <w:t xml:space="preserve">  x </w:t>
      </w:r>
      <w:r w:rsidRPr="005D6196">
        <w:t>+ 4</w:t>
      </w:r>
      <w:r w:rsidRPr="005D6196">
        <w:rPr>
          <w:i/>
        </w:rPr>
        <w:t xml:space="preserve">y </w:t>
      </w:r>
      <w:r w:rsidRPr="005D6196">
        <w:t>= 10</w:t>
      </w:r>
    </w:p>
    <w:p w:rsidR="00187223" w:rsidRPr="005D6196" w:rsidRDefault="00187223" w:rsidP="00A707D1">
      <w:pPr>
        <w:pStyle w:val="Quote"/>
        <w:keepNext/>
        <w:jc w:val="right"/>
      </w:pPr>
      <w:r w:rsidRPr="005D6196">
        <w:t>(p. 13, item 16)</w:t>
      </w:r>
    </w:p>
    <w:p w:rsidR="00187223" w:rsidRPr="005D6196" w:rsidRDefault="00187223" w:rsidP="009E38DA">
      <w:pPr>
        <w:ind w:firstLine="567"/>
        <w:rPr>
          <w:rFonts w:ascii="ＭＳ 明朝" w:eastAsia="ＭＳ 明朝" w:hAnsi="ＭＳ 明朝" w:cs="ＭＳ 明朝"/>
          <w:lang w:eastAsia="ja-JP"/>
        </w:rPr>
      </w:pPr>
    </w:p>
    <w:p w:rsidR="00187223" w:rsidRPr="005D6196" w:rsidRDefault="00187223" w:rsidP="00084CAF">
      <w:pPr>
        <w:ind w:firstLine="567"/>
      </w:pPr>
      <w:r w:rsidRPr="005D6196">
        <w:t>I am constructing school mathematics, then, as an assemblage of I</w:t>
      </w:r>
      <w:r w:rsidRPr="005D6196">
        <w:rPr>
          <w:vertAlign w:val="superscript"/>
        </w:rPr>
        <w:t>+</w:t>
      </w:r>
      <w:r w:rsidRPr="005D6196">
        <w:t xml:space="preserve"> </w:t>
      </w:r>
      <w:r w:rsidRPr="005D6196">
        <w:rPr>
          <w:i/>
        </w:rPr>
        <w:t>expression</w:t>
      </w:r>
      <w:r w:rsidRPr="005D6196">
        <w:t xml:space="preserve"> and </w:t>
      </w:r>
      <w:r w:rsidRPr="005D6196">
        <w:rPr>
          <w:i/>
        </w:rPr>
        <w:t>content</w:t>
      </w:r>
      <w:r w:rsidR="00A707D1" w:rsidRPr="005D6196">
        <w:t>,</w:t>
      </w:r>
      <w:r w:rsidRPr="005D6196">
        <w:t xml:space="preserve"> mathematics </w:t>
      </w:r>
      <w:r w:rsidRPr="005D6196">
        <w:rPr>
          <w:i/>
        </w:rPr>
        <w:t>per se</w:t>
      </w:r>
      <w:r w:rsidRPr="005D6196">
        <w:t xml:space="preserve"> as a </w:t>
      </w:r>
      <w:r w:rsidRPr="005D6196">
        <w:rPr>
          <w:i/>
        </w:rPr>
        <w:t>metaphoric apparatus</w:t>
      </w:r>
      <w:r w:rsidRPr="005D6196">
        <w:t xml:space="preserve">—confined to the </w:t>
      </w:r>
      <w:r w:rsidRPr="005D6196">
        <w:rPr>
          <w:i/>
        </w:rPr>
        <w:t>esoteric domain</w:t>
      </w:r>
      <w:r w:rsidRPr="005D6196">
        <w:t>—and a pedagogic theory (DS</w:t>
      </w:r>
      <w:r w:rsidRPr="005D6196">
        <w:rPr>
          <w:vertAlign w:val="superscript"/>
        </w:rPr>
        <w:t>+/-</w:t>
      </w:r>
      <w:r w:rsidRPr="005D6196">
        <w:t xml:space="preserve">) as a </w:t>
      </w:r>
      <w:r w:rsidRPr="005D6196">
        <w:rPr>
          <w:i/>
        </w:rPr>
        <w:t>method</w:t>
      </w:r>
      <w:r w:rsidRPr="005D6196">
        <w:t xml:space="preserve">. It is the latter that enables the mathematical </w:t>
      </w:r>
      <w:r w:rsidRPr="005D6196">
        <w:rPr>
          <w:i/>
        </w:rPr>
        <w:t>gaze</w:t>
      </w:r>
      <w:r w:rsidRPr="005D6196">
        <w:t xml:space="preserve"> by constituting principles of recognition and realisation of non-mathematical </w:t>
      </w:r>
      <w:r w:rsidRPr="005D6196">
        <w:rPr>
          <w:i/>
        </w:rPr>
        <w:t>content</w:t>
      </w:r>
      <w:r w:rsidRPr="005D6196">
        <w:t xml:space="preserve"> and </w:t>
      </w:r>
      <w:r w:rsidRPr="005D6196">
        <w:rPr>
          <w:i/>
        </w:rPr>
        <w:t>expression</w:t>
      </w:r>
      <w:r w:rsidRPr="005D6196">
        <w:t xml:space="preserve">, so facilitating the construction of the </w:t>
      </w:r>
      <w:r w:rsidRPr="005D6196">
        <w:rPr>
          <w:i/>
        </w:rPr>
        <w:t>public</w:t>
      </w:r>
      <w:r w:rsidRPr="005D6196">
        <w:t xml:space="preserve">, </w:t>
      </w:r>
      <w:r w:rsidRPr="005D6196">
        <w:rPr>
          <w:i/>
        </w:rPr>
        <w:t>descriptive</w:t>
      </w:r>
      <w:r w:rsidRPr="005D6196">
        <w:t xml:space="preserve">, and </w:t>
      </w:r>
      <w:r w:rsidRPr="005D6196">
        <w:rPr>
          <w:i/>
        </w:rPr>
        <w:t>expressive domains</w:t>
      </w:r>
      <w:r w:rsidRPr="005D6196">
        <w:t>. Quite clearly school mathematics could be construed differently so as, for example, to incorporate the totality of the school curriculum into a single entity; the establishing of I</w:t>
      </w:r>
      <w:r w:rsidRPr="005D6196">
        <w:rPr>
          <w:vertAlign w:val="superscript"/>
        </w:rPr>
        <w:t>+</w:t>
      </w:r>
      <w:r w:rsidRPr="005D6196">
        <w:t xml:space="preserve"> and I</w:t>
      </w:r>
      <w:r w:rsidRPr="005D6196">
        <w:rPr>
          <w:vertAlign w:val="superscript"/>
        </w:rPr>
        <w:t>-</w:t>
      </w:r>
      <w:r w:rsidRPr="005D6196">
        <w:t xml:space="preserve"> strategies in terms of the </w:t>
      </w:r>
      <w:r w:rsidRPr="005D6196">
        <w:rPr>
          <w:i/>
        </w:rPr>
        <w:t>expression/content</w:t>
      </w:r>
      <w:r w:rsidRPr="005D6196">
        <w:t xml:space="preserve"> distinction is, after all, an analytic decision. It is, however, an analytic distinction that has proved useful in generating productive ways of looking at mathematics and, indeed, at other activities. I have already offered one illustration of this in the description of the pedogising of probability as being largely confined—at least early on (Dowling, 1995, 1998)—to the </w:t>
      </w:r>
      <w:r w:rsidRPr="005D6196">
        <w:rPr>
          <w:i/>
        </w:rPr>
        <w:t>expressive domain</w:t>
      </w:r>
      <w:r w:rsidRPr="005D6196">
        <w:t xml:space="preserve"> and so denying access to the </w:t>
      </w:r>
      <w:r w:rsidRPr="005D6196">
        <w:rPr>
          <w:i/>
        </w:rPr>
        <w:t>esoteric</w:t>
      </w:r>
      <w:r w:rsidRPr="005D6196">
        <w:t xml:space="preserve"> </w:t>
      </w:r>
      <w:r w:rsidRPr="005D6196">
        <w:rPr>
          <w:i/>
        </w:rPr>
        <w:t xml:space="preserve">domain </w:t>
      </w:r>
      <w:r w:rsidRPr="005D6196">
        <w:t xml:space="preserve">of this topic, </w:t>
      </w:r>
      <w:r w:rsidR="00A707D1" w:rsidRPr="005D6196">
        <w:t>a topic that</w:t>
      </w:r>
      <w:r w:rsidRPr="005D6196">
        <w:t xml:space="preserve"> is notoriously intractable for many students</w:t>
      </w:r>
      <w:r w:rsidR="00A707D1" w:rsidRPr="005D6196">
        <w:t>.</w:t>
      </w:r>
      <w:r w:rsidRPr="005D6196">
        <w:t xml:space="preserve"> </w:t>
      </w:r>
      <w:r w:rsidR="00A707D1" w:rsidRPr="005D6196">
        <w:t xml:space="preserve">Brantlinger (2011) makes interesting use of this scheme in the interrogation of critical mathematics. </w:t>
      </w:r>
      <w:r w:rsidRPr="005D6196">
        <w:t xml:space="preserve">In earlier publications I also demonstrated the </w:t>
      </w:r>
      <w:r w:rsidRPr="005D6196">
        <w:lastRenderedPageBreak/>
        <w:t xml:space="preserve">way in which mathematics for ‘high ability’ and ‘low ability’ students was oriented towards the </w:t>
      </w:r>
      <w:r w:rsidRPr="005D6196">
        <w:rPr>
          <w:i/>
        </w:rPr>
        <w:t>esoteric</w:t>
      </w:r>
      <w:r w:rsidRPr="005D6196">
        <w:t xml:space="preserve"> and </w:t>
      </w:r>
      <w:r w:rsidRPr="005D6196">
        <w:rPr>
          <w:i/>
        </w:rPr>
        <w:t>public</w:t>
      </w:r>
      <w:r w:rsidRPr="005D6196">
        <w:t xml:space="preserve"> </w:t>
      </w:r>
      <w:r w:rsidRPr="005D6196">
        <w:rPr>
          <w:i/>
        </w:rPr>
        <w:t>domains</w:t>
      </w:r>
      <w:r w:rsidRPr="005D6196">
        <w:t xml:space="preserve">, respectively and, further, insofar as the recognition principles of ‘ability’ are a function of socioeconomic class, then school mathematics can be interpreted as a device for translating social class into ‘ability’, providing a mathematical career only for high social class/’ability’ </w:t>
      </w:r>
      <w:r w:rsidR="00AA011B" w:rsidRPr="005D6196">
        <w:t>students (see also Dowling, 1998</w:t>
      </w:r>
      <w:r w:rsidRPr="005D6196">
        <w:t>, Dowling &amp; Burke, 2012).</w:t>
      </w:r>
    </w:p>
    <w:p w:rsidR="00C7222A" w:rsidRPr="005D6196" w:rsidRDefault="00C7222A" w:rsidP="00084CAF">
      <w:pPr>
        <w:ind w:firstLine="567"/>
      </w:pPr>
    </w:p>
    <w:p w:rsidR="00C7222A" w:rsidRPr="005D6196" w:rsidRDefault="00C7222A" w:rsidP="00C7222A">
      <w:pPr>
        <w:keepNext/>
        <w:rPr>
          <w:i/>
        </w:rPr>
      </w:pPr>
      <w:r w:rsidRPr="005D6196">
        <w:rPr>
          <w:i/>
        </w:rPr>
        <w:t>Figure 3: Domains of action—two activities in forensic relation</w:t>
      </w:r>
    </w:p>
    <w:p w:rsidR="00C7222A" w:rsidRPr="005D6196" w:rsidRDefault="00C7222A" w:rsidP="00C7222A">
      <w:pPr>
        <w:keepNext/>
        <w:rPr>
          <w:i/>
        </w:rPr>
      </w:pPr>
    </w:p>
    <w:p w:rsidR="00C7222A" w:rsidRPr="005D6196" w:rsidRDefault="00C7222A" w:rsidP="00C7222A">
      <w:pPr>
        <w:keepNext/>
        <w:jc w:val="center"/>
      </w:pPr>
      <w:r w:rsidRPr="005D6196">
        <w:rPr>
          <w:noProof/>
          <w:lang w:eastAsia="en-GB"/>
        </w:rPr>
        <w:drawing>
          <wp:inline distT="0" distB="0" distL="0" distR="0">
            <wp:extent cx="2967567" cy="29675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ains at two levels 1.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67764" cy="2967764"/>
                    </a:xfrm>
                    <a:prstGeom prst="rect">
                      <a:avLst/>
                    </a:prstGeom>
                  </pic:spPr>
                </pic:pic>
              </a:graphicData>
            </a:graphic>
          </wp:inline>
        </w:drawing>
      </w:r>
    </w:p>
    <w:p w:rsidR="00C7222A" w:rsidRPr="005D6196" w:rsidRDefault="00C7222A" w:rsidP="00C7222A">
      <w:pPr>
        <w:rPr>
          <w:sz w:val="20"/>
          <w:szCs w:val="20"/>
        </w:rPr>
      </w:pPr>
      <w:r w:rsidRPr="005D6196">
        <w:t xml:space="preserve"> </w:t>
      </w:r>
      <w:proofErr w:type="gramStart"/>
      <w:r w:rsidRPr="005D6196">
        <w:rPr>
          <w:sz w:val="20"/>
          <w:szCs w:val="20"/>
        </w:rPr>
        <w:t>ed</w:t>
      </w:r>
      <w:proofErr w:type="gramEnd"/>
      <w:r w:rsidRPr="005D6196">
        <w:rPr>
          <w:sz w:val="20"/>
          <w:szCs w:val="20"/>
        </w:rPr>
        <w:t xml:space="preserve"> = esoteric domain; dd = descriptive domain; xd = expressive domain; pd = public domain</w:t>
      </w:r>
    </w:p>
    <w:p w:rsidR="00C7222A" w:rsidRPr="005D6196" w:rsidRDefault="00C7222A" w:rsidP="00084CAF">
      <w:pPr>
        <w:ind w:firstLine="567"/>
      </w:pPr>
    </w:p>
    <w:p w:rsidR="006E3196" w:rsidRPr="005D6196" w:rsidRDefault="006E3196" w:rsidP="006E3196">
      <w:pPr>
        <w:ind w:firstLine="567"/>
      </w:pPr>
      <w:r w:rsidRPr="005D6196">
        <w:t xml:space="preserve">Leaving mathematics for a moment, the </w:t>
      </w:r>
      <w:r w:rsidRPr="005D6196">
        <w:rPr>
          <w:i/>
        </w:rPr>
        <w:t>expressive domain</w:t>
      </w:r>
      <w:r w:rsidRPr="005D6196">
        <w:t xml:space="preserve"> can also be constituted as a productive region for autodidactic pedagogic action. Take, for example, the case of learning to play a video game. We may constitute the assemblage of hardware electronics and architecture, game structure and software as the game’s </w:t>
      </w:r>
      <w:r w:rsidRPr="005D6196">
        <w:rPr>
          <w:i/>
        </w:rPr>
        <w:t>esoteric domain</w:t>
      </w:r>
      <w:r w:rsidRPr="005D6196">
        <w:t xml:space="preserve">. For the most part and for most players there is no direct access to this domain. Instead, the player has access to a keyboard or console and a graphic user interface (GUI). There are, of course, many ways to engage with a game, some of which might be described as more destructive than pedagogic. One approach, however, is to attempt to construct the principles of the esoteric domain in the language of the console and GUI, which is to say, in the </w:t>
      </w:r>
      <w:r w:rsidRPr="005D6196">
        <w:rPr>
          <w:i/>
        </w:rPr>
        <w:t>expressive domain</w:t>
      </w:r>
      <w:r w:rsidRPr="005D6196">
        <w:t xml:space="preserve">. Indeed, the walkthrough sites that are available for many of these games are formulated in </w:t>
      </w:r>
      <w:r w:rsidRPr="005D6196">
        <w:rPr>
          <w:i/>
        </w:rPr>
        <w:t>expressive domain</w:t>
      </w:r>
      <w:r w:rsidRPr="005D6196">
        <w:t xml:space="preserve"> text.</w:t>
      </w:r>
      <w:r w:rsidRPr="005D6196">
        <w:rPr>
          <w:rStyle w:val="FootnoteReference"/>
        </w:rPr>
        <w:footnoteReference w:id="11"/>
      </w:r>
      <w:r w:rsidRPr="005D6196">
        <w:t xml:space="preserve"> To go further, this is precisely what is attempted in a great deal of research activity that I refer to as </w:t>
      </w:r>
      <w:r w:rsidRPr="005D6196">
        <w:rPr>
          <w:i/>
        </w:rPr>
        <w:t>forensics</w:t>
      </w:r>
      <w:r w:rsidRPr="005D6196">
        <w:t xml:space="preserve">. Essentially, the social researcher is generally constructing an </w:t>
      </w:r>
      <w:r w:rsidRPr="005D6196">
        <w:rPr>
          <w:i/>
        </w:rPr>
        <w:t>expressive domain</w:t>
      </w:r>
      <w:r w:rsidRPr="005D6196">
        <w:t xml:space="preserve"> language in an attempt to represent the </w:t>
      </w:r>
      <w:r w:rsidRPr="005D6196">
        <w:rPr>
          <w:i/>
        </w:rPr>
        <w:t>esoteric domain</w:t>
      </w:r>
      <w:r w:rsidRPr="005D6196">
        <w:t xml:space="preserve"> of their object setting. </w:t>
      </w:r>
      <w:proofErr w:type="gramStart"/>
      <w:r w:rsidRPr="005D6196">
        <w:t>In the more general language of social research, the researcher is deploying or constructing an etic language contrasting with the emic language of the setting itself.</w:t>
      </w:r>
      <w:proofErr w:type="gramEnd"/>
      <w:r w:rsidRPr="005D6196">
        <w:t xml:space="preserve"> Under such circumstances, the </w:t>
      </w:r>
      <w:r w:rsidRPr="005D6196">
        <w:rPr>
          <w:i/>
        </w:rPr>
        <w:t>expressive domain</w:t>
      </w:r>
      <w:r w:rsidRPr="005D6196">
        <w:t xml:space="preserve">, etic language constitutes the external language of their research, whilst the general principles or approach and so forth—constitute their own </w:t>
      </w:r>
      <w:r w:rsidRPr="005D6196">
        <w:rPr>
          <w:i/>
        </w:rPr>
        <w:t>esoteric domain</w:t>
      </w:r>
      <w:r w:rsidRPr="005D6196">
        <w:t xml:space="preserve"> and internal language. A switch will have been noticed here. The etic language is indeed </w:t>
      </w:r>
      <w:r w:rsidRPr="005D6196">
        <w:lastRenderedPageBreak/>
        <w:t xml:space="preserve">constituted in an </w:t>
      </w:r>
      <w:r w:rsidRPr="005D6196">
        <w:rPr>
          <w:i/>
        </w:rPr>
        <w:t>expressive domain</w:t>
      </w:r>
      <w:r w:rsidRPr="005D6196">
        <w:t xml:space="preserve"> from the perspective of the activity of the empirical setting in and of itself—but is now the </w:t>
      </w:r>
      <w:r w:rsidRPr="005D6196">
        <w:rPr>
          <w:i/>
        </w:rPr>
        <w:t>descriptive domain</w:t>
      </w:r>
      <w:r w:rsidRPr="005D6196">
        <w:t xml:space="preserve"> of the activity of the social researcher and the empirical and research activities each constitute the </w:t>
      </w:r>
      <w:r w:rsidRPr="005D6196">
        <w:rPr>
          <w:i/>
        </w:rPr>
        <w:t>public domain</w:t>
      </w:r>
      <w:r w:rsidRPr="005D6196">
        <w:t xml:space="preserve"> of the other. The two activities—the setting activity and the social research activity—confront each other as is illustrated in Figure 3.</w:t>
      </w:r>
    </w:p>
    <w:p w:rsidR="00187223" w:rsidRPr="005D6196" w:rsidRDefault="00187223" w:rsidP="00B8516B">
      <w:pPr>
        <w:rPr>
          <w:sz w:val="20"/>
          <w:szCs w:val="20"/>
        </w:rPr>
      </w:pPr>
    </w:p>
    <w:p w:rsidR="00187223" w:rsidRPr="005D6196" w:rsidRDefault="00187223" w:rsidP="000E4668">
      <w:pPr>
        <w:keepNext/>
        <w:rPr>
          <w:i/>
        </w:rPr>
      </w:pPr>
      <w:r w:rsidRPr="005D6196">
        <w:rPr>
          <w:i/>
        </w:rPr>
        <w:t>Figure 4: Domains of action—two activities in relation of constructive description</w:t>
      </w:r>
    </w:p>
    <w:p w:rsidR="00187223" w:rsidRPr="005D6196" w:rsidRDefault="00187223" w:rsidP="000E4668">
      <w:pPr>
        <w:keepNext/>
        <w:rPr>
          <w:i/>
        </w:rPr>
      </w:pPr>
    </w:p>
    <w:p w:rsidR="00187223" w:rsidRPr="005D6196" w:rsidRDefault="00187223" w:rsidP="008111D0">
      <w:pPr>
        <w:keepNext/>
        <w:jc w:val="center"/>
      </w:pPr>
      <w:r w:rsidRPr="005D6196">
        <w:rPr>
          <w:noProof/>
          <w:lang w:eastAsia="en-GB"/>
        </w:rPr>
        <w:drawing>
          <wp:inline distT="0" distB="0" distL="0" distR="0">
            <wp:extent cx="3541395" cy="35362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ains at two levels 2.jpg"/>
                    <pic:cNvPicPr/>
                  </pic:nvPicPr>
                  <pic:blipFill>
                    <a:blip r:embed="rId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41395" cy="3536279"/>
                    </a:xfrm>
                    <a:prstGeom prst="rect">
                      <a:avLst/>
                    </a:prstGeom>
                  </pic:spPr>
                </pic:pic>
              </a:graphicData>
            </a:graphic>
          </wp:inline>
        </w:drawing>
      </w:r>
    </w:p>
    <w:p w:rsidR="00187223" w:rsidRPr="005D6196" w:rsidRDefault="00187223" w:rsidP="000E4668">
      <w:pPr>
        <w:rPr>
          <w:sz w:val="20"/>
          <w:szCs w:val="20"/>
        </w:rPr>
      </w:pPr>
      <w:proofErr w:type="gramStart"/>
      <w:r w:rsidRPr="005D6196">
        <w:rPr>
          <w:sz w:val="20"/>
          <w:szCs w:val="20"/>
        </w:rPr>
        <w:t>ed</w:t>
      </w:r>
      <w:proofErr w:type="gramEnd"/>
      <w:r w:rsidRPr="005D6196">
        <w:rPr>
          <w:sz w:val="20"/>
          <w:szCs w:val="20"/>
        </w:rPr>
        <w:t xml:space="preserve"> = esoteric domain; dd = descriptive domain; xd = expressive domain; pd = public domain</w:t>
      </w:r>
    </w:p>
    <w:p w:rsidR="00187223" w:rsidRPr="005D6196" w:rsidRDefault="00187223" w:rsidP="006B2D2A"/>
    <w:p w:rsidR="000532C1" w:rsidRPr="005D6196" w:rsidRDefault="000532C1" w:rsidP="000532C1">
      <w:pPr>
        <w:ind w:firstLine="567"/>
      </w:pPr>
      <w:r w:rsidRPr="005D6196">
        <w:t xml:space="preserve">The configuration of the two activities in Figure 3 presents the etic language of the setting’s </w:t>
      </w:r>
      <w:r w:rsidRPr="005D6196">
        <w:rPr>
          <w:i/>
        </w:rPr>
        <w:t>expressive domain</w:t>
      </w:r>
      <w:r w:rsidRPr="005D6196">
        <w:t xml:space="preserve"> and the research </w:t>
      </w:r>
      <w:r w:rsidRPr="005D6196">
        <w:rPr>
          <w:i/>
        </w:rPr>
        <w:t>descriptive domai</w:t>
      </w:r>
      <w:r w:rsidRPr="005D6196">
        <w:t xml:space="preserve">n as a representation of the setting activity itself, so that the research </w:t>
      </w:r>
      <w:r w:rsidRPr="005D6196">
        <w:rPr>
          <w:i/>
        </w:rPr>
        <w:t>public domain</w:t>
      </w:r>
      <w:r w:rsidRPr="005D6196">
        <w:t xml:space="preserve"> is constituted as the same thing as the setting </w:t>
      </w:r>
      <w:r w:rsidRPr="005D6196">
        <w:rPr>
          <w:i/>
        </w:rPr>
        <w:t>esoteric domain</w:t>
      </w:r>
      <w:r w:rsidRPr="005D6196">
        <w:t>. The research, in this configuration, is attempting to discover how the setting really works as if a reality unmediated by semiosis was available to the researcher.</w:t>
      </w:r>
      <w:r w:rsidRPr="005D6196">
        <w:rPr>
          <w:rStyle w:val="FootnoteReference"/>
        </w:rPr>
        <w:footnoteReference w:id="12"/>
      </w:r>
      <w:r w:rsidRPr="005D6196">
        <w:t xml:space="preserve"> This is an illustration of what I have referred to above as </w:t>
      </w:r>
      <w:r w:rsidRPr="005D6196">
        <w:rPr>
          <w:i/>
        </w:rPr>
        <w:t>forensics</w:t>
      </w:r>
      <w:r w:rsidRPr="005D6196">
        <w:t xml:space="preserve">. By contrast, my </w:t>
      </w:r>
      <w:r w:rsidRPr="005D6196">
        <w:rPr>
          <w:i/>
        </w:rPr>
        <w:t>constructive description</w:t>
      </w:r>
      <w:r w:rsidRPr="005D6196">
        <w:t xml:space="preserve"> approach incorporates the objects of a language entirely within itself so that the configuration is more appropriately presented as in Figure 4.</w:t>
      </w:r>
      <w:r w:rsidRPr="005D6196">
        <w:rPr>
          <w:rStyle w:val="FootnoteReference"/>
        </w:rPr>
        <w:footnoteReference w:id="13"/>
      </w:r>
      <w:r w:rsidRPr="005D6196">
        <w:t xml:space="preserve"> Taking anthropology as presented by Clifford Geertz (1988, </w:t>
      </w:r>
      <w:r w:rsidR="003F0B16" w:rsidRPr="005D6196">
        <w:t>1977 (</w:t>
      </w:r>
      <w:r w:rsidRPr="005D6196">
        <w:t>2000 edn</w:t>
      </w:r>
      <w:r w:rsidR="003F0B16" w:rsidRPr="005D6196">
        <w:t>)</w:t>
      </w:r>
      <w:r w:rsidRPr="005D6196">
        <w:t xml:space="preserve">) as an example, the research may start out as the kind of autodidactics that I described in respect of the video game, which is to say, the anthropologists attempts to apprentice themselves into the setting; traditionally, this is likely to involve, amongst other things, learning the local language. The initial phase, then might be described as the anthropologist attempting </w:t>
      </w:r>
      <w:r w:rsidRPr="005D6196">
        <w:lastRenderedPageBreak/>
        <w:t xml:space="preserve">to establish an </w:t>
      </w:r>
      <w:r w:rsidRPr="005D6196">
        <w:rPr>
          <w:i/>
        </w:rPr>
        <w:t>expressive domain</w:t>
      </w:r>
      <w:r w:rsidRPr="005D6196">
        <w:t xml:space="preserve"> for the setting by ‘being there’ in the field. Ultimately, however, the anthropologist must present their work to the academy, as Geertz puts it:</w:t>
      </w:r>
    </w:p>
    <w:p w:rsidR="000532C1" w:rsidRPr="005D6196" w:rsidRDefault="000532C1" w:rsidP="000532C1"/>
    <w:p w:rsidR="000532C1" w:rsidRPr="005D6196" w:rsidRDefault="000532C1" w:rsidP="000532C1">
      <w:pPr>
        <w:pStyle w:val="Quote"/>
        <w:keepNext/>
      </w:pPr>
      <w:r w:rsidRPr="005D6196">
        <w:t xml:space="preserve">In itself, Being There is a postcard experience (‘I've been to Katmandu—have you?’). It is Being Here, a scholar among </w:t>
      </w:r>
      <w:proofErr w:type="gramStart"/>
      <w:r w:rsidRPr="005D6196">
        <w:t xml:space="preserve">scholars, that gets your anthropology read ... </w:t>
      </w:r>
      <w:proofErr w:type="gramEnd"/>
      <w:r w:rsidRPr="005D6196">
        <w:t xml:space="preserve"> published, reviews, cited, taught.</w:t>
      </w:r>
    </w:p>
    <w:p w:rsidR="000532C1" w:rsidRPr="005D6196" w:rsidRDefault="000532C1" w:rsidP="000532C1">
      <w:pPr>
        <w:pStyle w:val="Quote"/>
        <w:keepNext/>
        <w:jc w:val="right"/>
      </w:pPr>
      <w:r w:rsidRPr="005D6196">
        <w:t>(Geertz, 1988; 130; ellipsis in original)</w:t>
      </w:r>
    </w:p>
    <w:p w:rsidR="000532C1" w:rsidRPr="005D6196" w:rsidRDefault="000532C1" w:rsidP="000532C1">
      <w:r w:rsidRPr="005D6196">
        <w:br/>
        <w:t xml:space="preserve">It is the social and cultural capital of anthropology that constitutes its </w:t>
      </w:r>
      <w:r w:rsidRPr="005D6196">
        <w:rPr>
          <w:i/>
        </w:rPr>
        <w:t>esoteric domain</w:t>
      </w:r>
      <w:r w:rsidRPr="005D6196">
        <w:t xml:space="preserve"> and that constitutes its interpretations as substantive recontextualisations and a similar argument explains why the school mathematics classroom is not the place to learn how to do your shopping.</w:t>
      </w:r>
    </w:p>
    <w:p w:rsidR="000532C1" w:rsidRPr="005D6196" w:rsidRDefault="000532C1" w:rsidP="006B2D2A"/>
    <w:p w:rsidR="00187223" w:rsidRPr="005D6196" w:rsidRDefault="00187223" w:rsidP="006B2D2A">
      <w:pPr>
        <w:ind w:left="567"/>
        <w:rPr>
          <w:i/>
          <w:sz w:val="28"/>
          <w:szCs w:val="28"/>
        </w:rPr>
      </w:pPr>
      <w:r w:rsidRPr="005D6196">
        <w:rPr>
          <w:i/>
          <w:sz w:val="28"/>
          <w:szCs w:val="28"/>
        </w:rPr>
        <w:t>Modes of recontextualisation</w:t>
      </w:r>
    </w:p>
    <w:p w:rsidR="00187223" w:rsidRPr="005D6196" w:rsidRDefault="00187223" w:rsidP="006B2D2A"/>
    <w:p w:rsidR="00187223" w:rsidRPr="005D6196" w:rsidRDefault="00187223" w:rsidP="006B2D2A">
      <w:r w:rsidRPr="005D6196">
        <w:t xml:space="preserve">I have, thus far in this paper, said very little about the nature of recontextualisation other than to claim that it involves a transformation of some kind. I want to make another short digression to introduce another SAM scheme that lays out modes of recontextualisation in terms of </w:t>
      </w:r>
      <w:r w:rsidRPr="005D6196">
        <w:rPr>
          <w:i/>
        </w:rPr>
        <w:t>discursive saturation</w:t>
      </w:r>
      <w:r w:rsidRPr="005D6196">
        <w:t>. This is shown in Figure 5.</w:t>
      </w:r>
    </w:p>
    <w:p w:rsidR="00187223" w:rsidRPr="005D6196" w:rsidRDefault="00187223" w:rsidP="00AD2564">
      <w:pPr>
        <w:ind w:firstLine="567"/>
      </w:pPr>
    </w:p>
    <w:p w:rsidR="00187223" w:rsidRPr="005D6196" w:rsidRDefault="00187223" w:rsidP="00CC7ABE">
      <w:r w:rsidRPr="005D6196">
        <w:rPr>
          <w:i/>
        </w:rPr>
        <w:t>Figure 5: Modes of recontextualisation</w:t>
      </w:r>
    </w:p>
    <w:p w:rsidR="00187223" w:rsidRPr="005D6196" w:rsidRDefault="00187223" w:rsidP="00CC7ABE"/>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40"/>
        <w:gridCol w:w="2841"/>
        <w:gridCol w:w="2841"/>
      </w:tblGrid>
      <w:tr w:rsidR="00187223" w:rsidRPr="005D6196" w:rsidTr="00F12A76">
        <w:tc>
          <w:tcPr>
            <w:tcW w:w="2840" w:type="dxa"/>
          </w:tcPr>
          <w:p w:rsidR="00187223" w:rsidRPr="005D6196" w:rsidRDefault="00187223" w:rsidP="00F12A76">
            <w:pPr>
              <w:spacing w:before="120" w:after="120"/>
            </w:pPr>
          </w:p>
        </w:tc>
        <w:tc>
          <w:tcPr>
            <w:tcW w:w="5682" w:type="dxa"/>
            <w:gridSpan w:val="2"/>
            <w:tcBorders>
              <w:top w:val="single" w:sz="4" w:space="0" w:color="auto"/>
              <w:bottom w:val="single" w:sz="4" w:space="0" w:color="auto"/>
            </w:tcBorders>
          </w:tcPr>
          <w:p w:rsidR="00187223" w:rsidRPr="005D6196" w:rsidRDefault="00187223" w:rsidP="00F12A76">
            <w:pPr>
              <w:spacing w:before="120" w:after="120"/>
              <w:jc w:val="center"/>
            </w:pPr>
            <w:r w:rsidRPr="005D6196">
              <w:t>Recontextualised Practice</w:t>
            </w:r>
          </w:p>
        </w:tc>
      </w:tr>
      <w:tr w:rsidR="00187223" w:rsidRPr="005D6196" w:rsidTr="00F12A76">
        <w:tc>
          <w:tcPr>
            <w:tcW w:w="2840" w:type="dxa"/>
            <w:tcBorders>
              <w:bottom w:val="single" w:sz="4" w:space="0" w:color="auto"/>
            </w:tcBorders>
          </w:tcPr>
          <w:p w:rsidR="00187223" w:rsidRPr="005D6196" w:rsidRDefault="00187223" w:rsidP="00F12A76">
            <w:pPr>
              <w:spacing w:before="120" w:after="120"/>
              <w:jc w:val="center"/>
            </w:pPr>
            <w:r w:rsidRPr="005D6196">
              <w:t>Recontextualising Strategy</w:t>
            </w:r>
          </w:p>
        </w:tc>
        <w:tc>
          <w:tcPr>
            <w:tcW w:w="2841" w:type="dxa"/>
            <w:tcBorders>
              <w:top w:val="single" w:sz="4" w:space="0" w:color="auto"/>
              <w:bottom w:val="single" w:sz="4" w:space="0" w:color="auto"/>
            </w:tcBorders>
          </w:tcPr>
          <w:p w:rsidR="00187223" w:rsidRPr="005D6196" w:rsidRDefault="00187223" w:rsidP="00F12A76">
            <w:pPr>
              <w:spacing w:before="120" w:after="120"/>
              <w:jc w:val="center"/>
            </w:pPr>
            <w:r w:rsidRPr="005D6196">
              <w:t>DS</w:t>
            </w:r>
            <w:r w:rsidRPr="005D6196">
              <w:rPr>
                <w:vertAlign w:val="superscript"/>
              </w:rPr>
              <w:t>-</w:t>
            </w:r>
          </w:p>
        </w:tc>
        <w:tc>
          <w:tcPr>
            <w:tcW w:w="2841" w:type="dxa"/>
            <w:tcBorders>
              <w:top w:val="single" w:sz="4" w:space="0" w:color="auto"/>
              <w:bottom w:val="single" w:sz="4" w:space="0" w:color="auto"/>
            </w:tcBorders>
          </w:tcPr>
          <w:p w:rsidR="00187223" w:rsidRPr="005D6196" w:rsidRDefault="00187223" w:rsidP="00F12A76">
            <w:pPr>
              <w:spacing w:before="120" w:after="120"/>
              <w:jc w:val="center"/>
            </w:pPr>
            <w:r w:rsidRPr="005D6196">
              <w:t>DS</w:t>
            </w:r>
            <w:r w:rsidRPr="005D6196">
              <w:rPr>
                <w:vertAlign w:val="superscript"/>
              </w:rPr>
              <w:t>+</w:t>
            </w:r>
          </w:p>
        </w:tc>
      </w:tr>
      <w:tr w:rsidR="00187223" w:rsidRPr="005D6196" w:rsidTr="00F12A76">
        <w:tc>
          <w:tcPr>
            <w:tcW w:w="2840" w:type="dxa"/>
            <w:tcBorders>
              <w:top w:val="single" w:sz="4" w:space="0" w:color="auto"/>
            </w:tcBorders>
          </w:tcPr>
          <w:p w:rsidR="00187223" w:rsidRPr="005D6196" w:rsidRDefault="00187223" w:rsidP="00F12A76">
            <w:pPr>
              <w:spacing w:before="120" w:after="120"/>
              <w:ind w:left="567"/>
            </w:pPr>
            <w:r w:rsidRPr="005D6196">
              <w:t>DS</w:t>
            </w:r>
            <w:r w:rsidRPr="005D6196">
              <w:rPr>
                <w:vertAlign w:val="superscript"/>
              </w:rPr>
              <w:t>-</w:t>
            </w:r>
          </w:p>
        </w:tc>
        <w:tc>
          <w:tcPr>
            <w:tcW w:w="2841" w:type="dxa"/>
            <w:tcBorders>
              <w:top w:val="single" w:sz="4" w:space="0" w:color="auto"/>
            </w:tcBorders>
          </w:tcPr>
          <w:p w:rsidR="00187223" w:rsidRPr="005D6196" w:rsidRDefault="00187223" w:rsidP="00F12A76">
            <w:pPr>
              <w:spacing w:before="120" w:after="120"/>
              <w:jc w:val="center"/>
              <w:rPr>
                <w:i/>
              </w:rPr>
            </w:pPr>
            <w:r w:rsidRPr="005D6196">
              <w:rPr>
                <w:i/>
              </w:rPr>
              <w:t>improvising</w:t>
            </w:r>
          </w:p>
        </w:tc>
        <w:tc>
          <w:tcPr>
            <w:tcW w:w="2841" w:type="dxa"/>
            <w:tcBorders>
              <w:top w:val="single" w:sz="4" w:space="0" w:color="auto"/>
            </w:tcBorders>
          </w:tcPr>
          <w:p w:rsidR="00187223" w:rsidRPr="005D6196" w:rsidRDefault="00187223" w:rsidP="00F12A76">
            <w:pPr>
              <w:spacing w:before="120" w:after="120"/>
              <w:jc w:val="center"/>
              <w:rPr>
                <w:i/>
              </w:rPr>
            </w:pPr>
            <w:r w:rsidRPr="005D6196">
              <w:rPr>
                <w:i/>
              </w:rPr>
              <w:t>de-principling</w:t>
            </w:r>
          </w:p>
        </w:tc>
      </w:tr>
      <w:tr w:rsidR="00187223" w:rsidRPr="005D6196" w:rsidTr="00F12A76">
        <w:tc>
          <w:tcPr>
            <w:tcW w:w="2840" w:type="dxa"/>
          </w:tcPr>
          <w:p w:rsidR="00187223" w:rsidRPr="005D6196" w:rsidRDefault="00187223" w:rsidP="00F12A76">
            <w:pPr>
              <w:spacing w:before="120" w:after="120"/>
              <w:ind w:left="567"/>
            </w:pPr>
            <w:r w:rsidRPr="005D6196">
              <w:t>DS</w:t>
            </w:r>
            <w:r w:rsidRPr="005D6196">
              <w:rPr>
                <w:vertAlign w:val="superscript"/>
              </w:rPr>
              <w:t>+</w:t>
            </w:r>
          </w:p>
        </w:tc>
        <w:tc>
          <w:tcPr>
            <w:tcW w:w="2841" w:type="dxa"/>
          </w:tcPr>
          <w:p w:rsidR="00187223" w:rsidRPr="005D6196" w:rsidRDefault="00187223" w:rsidP="00F12A76">
            <w:pPr>
              <w:spacing w:before="120" w:after="120"/>
              <w:jc w:val="center"/>
              <w:rPr>
                <w:i/>
              </w:rPr>
            </w:pPr>
            <w:r w:rsidRPr="005D6196">
              <w:rPr>
                <w:i/>
              </w:rPr>
              <w:t>rationalising</w:t>
            </w:r>
          </w:p>
        </w:tc>
        <w:tc>
          <w:tcPr>
            <w:tcW w:w="2841" w:type="dxa"/>
          </w:tcPr>
          <w:p w:rsidR="00187223" w:rsidRPr="005D6196" w:rsidRDefault="00187223" w:rsidP="00F12A76">
            <w:pPr>
              <w:spacing w:before="120" w:after="120"/>
              <w:jc w:val="center"/>
              <w:rPr>
                <w:i/>
              </w:rPr>
            </w:pPr>
            <w:r w:rsidRPr="005D6196">
              <w:rPr>
                <w:i/>
              </w:rPr>
              <w:t>re-principling</w:t>
            </w:r>
          </w:p>
        </w:tc>
      </w:tr>
    </w:tbl>
    <w:p w:rsidR="00187223" w:rsidRPr="005D6196" w:rsidRDefault="00187223" w:rsidP="000E4668">
      <w:pPr>
        <w:keepNext/>
      </w:pPr>
    </w:p>
    <w:p w:rsidR="00187223" w:rsidRPr="005D6196" w:rsidRDefault="00187223" w:rsidP="00B06C8B">
      <w:r w:rsidRPr="005D6196">
        <w:t>Pierre Bourdieu (1977) provides an excellent illustration—again from anthropology—of what can happen when DS</w:t>
      </w:r>
      <w:r w:rsidRPr="005D6196">
        <w:rPr>
          <w:vertAlign w:val="superscript"/>
        </w:rPr>
        <w:t>+</w:t>
      </w:r>
      <w:r w:rsidRPr="005D6196">
        <w:t xml:space="preserve"> strategies (I am using my language, not Bourdieu’s) are deployed on DS</w:t>
      </w:r>
      <w:r w:rsidRPr="005D6196">
        <w:rPr>
          <w:vertAlign w:val="superscript"/>
        </w:rPr>
        <w:t>-</w:t>
      </w:r>
      <w:r w:rsidRPr="005D6196">
        <w:t xml:space="preserve"> practice. Bourdieu critiques the analysis of gift exchange in a non-industrial society by structuralist anthropology.</w:t>
      </w:r>
      <w:r w:rsidRPr="005D6196">
        <w:rPr>
          <w:rStyle w:val="FootnoteReference"/>
          <w:szCs w:val="20"/>
        </w:rPr>
        <w:footnoteReference w:id="14"/>
      </w:r>
      <w:r w:rsidRPr="005D6196">
        <w:t xml:space="preserve"> As Bourdieu argues, the anthropologist may write the society’s rules, but the real power plays are always going to go on in the interstices. The presentation of a gift, for example, may require that another gift be made in exchange, but this leaves open the precise nature of the gift (it cannot be the same gift simply given back) and the period of time that may elapse before the exchange is made. Indeed, the extending of the period may raise a doubt as to whether the exchange gift will ever be forthcoming. In respect of the anthropology of myth, he warns:</w:t>
      </w:r>
    </w:p>
    <w:p w:rsidR="00187223" w:rsidRPr="005D6196" w:rsidRDefault="00187223" w:rsidP="00331938">
      <w:pPr>
        <w:pStyle w:val="Quote"/>
        <w:rPr>
          <w:lang w:eastAsia="ja-JP"/>
        </w:rPr>
      </w:pPr>
    </w:p>
    <w:p w:rsidR="00187223" w:rsidRPr="005D6196" w:rsidRDefault="00187223" w:rsidP="00331938">
      <w:pPr>
        <w:pStyle w:val="Quote"/>
        <w:rPr>
          <w:lang w:eastAsia="ja-JP"/>
        </w:rPr>
      </w:pPr>
      <w:r w:rsidRPr="005D6196">
        <w:rPr>
          <w:lang w:eastAsia="ja-JP"/>
        </w:rPr>
        <w:t>The science of myth is entitled to describe the syntax of myth, but only so long as it is not forgotten that, when it ceases to be seen as a convenient translation, this language destroys the truth that it makes accessible. One can say that gymnastics is geometry so long as this is not taken to mean that the gymnast is a geometer.</w:t>
      </w:r>
    </w:p>
    <w:p w:rsidR="00187223" w:rsidRPr="005D6196" w:rsidRDefault="00187223" w:rsidP="00331938">
      <w:pPr>
        <w:pStyle w:val="Quote"/>
        <w:jc w:val="right"/>
        <w:rPr>
          <w:lang w:eastAsia="ja-JP"/>
        </w:rPr>
      </w:pPr>
      <w:r w:rsidRPr="005D6196">
        <w:rPr>
          <w:lang w:eastAsia="ja-JP"/>
        </w:rPr>
        <w:t>(Bourdieu, 1990; 93)</w:t>
      </w:r>
    </w:p>
    <w:p w:rsidR="00187223" w:rsidRPr="005D6196" w:rsidRDefault="00187223" w:rsidP="006B2D2A"/>
    <w:p w:rsidR="00187223" w:rsidRPr="005D6196" w:rsidRDefault="00187223" w:rsidP="000E4668">
      <w:pPr>
        <w:keepNext/>
      </w:pPr>
      <w:r w:rsidRPr="005D6196">
        <w:t>Indeed no: Euclid on the beam sounds excruciating!</w:t>
      </w:r>
    </w:p>
    <w:p w:rsidR="00187223" w:rsidRPr="005D6196" w:rsidRDefault="00187223" w:rsidP="00A8424C">
      <w:pPr>
        <w:keepNext/>
        <w:ind w:firstLine="567"/>
      </w:pPr>
      <w:r w:rsidRPr="005D6196">
        <w:t xml:space="preserve">The ‘science of myth’ would seem to involve the deployment of </w:t>
      </w:r>
      <w:r w:rsidRPr="005D6196">
        <w:rPr>
          <w:i/>
        </w:rPr>
        <w:t>rationalising</w:t>
      </w:r>
      <w:r w:rsidRPr="005D6196">
        <w:t xml:space="preserve"> recontextualisation and it seems that school mathematics often recontextualises domestic and other activities in this way (see the examples in Dowling 1998, 2009).  The recontextualising of the restaurant bill introduced earlier also involves </w:t>
      </w:r>
      <w:r w:rsidRPr="005D6196">
        <w:rPr>
          <w:i/>
        </w:rPr>
        <w:t>rationalising</w:t>
      </w:r>
      <w:r w:rsidRPr="005D6196">
        <w:t xml:space="preserve"> because the numerical elements of the setting are first fetishized and then moved around so as to insert the unknown in a place that is determined by the requirements of the assessment. What I am doing in this paper is deploying DS</w:t>
      </w:r>
      <w:r w:rsidRPr="005D6196">
        <w:rPr>
          <w:vertAlign w:val="superscript"/>
        </w:rPr>
        <w:t>+</w:t>
      </w:r>
      <w:r w:rsidRPr="005D6196">
        <w:t xml:space="preserve"> strategies in the recontextualising of activities—mathematics, anthropology—that themselves involve substantial DS</w:t>
      </w:r>
      <w:r w:rsidRPr="005D6196">
        <w:rPr>
          <w:vertAlign w:val="superscript"/>
        </w:rPr>
        <w:t>+</w:t>
      </w:r>
      <w:r w:rsidRPr="005D6196">
        <w:t xml:space="preserve"> strategies and to this extent, I am </w:t>
      </w:r>
      <w:r w:rsidRPr="005D6196">
        <w:rPr>
          <w:i/>
        </w:rPr>
        <w:t>re-principling</w:t>
      </w:r>
      <w:r w:rsidRPr="005D6196">
        <w:t xml:space="preserve">. My recontextualisation of the playing of video games, however, is more like </w:t>
      </w:r>
      <w:r w:rsidRPr="005D6196">
        <w:rPr>
          <w:i/>
        </w:rPr>
        <w:t>rationalising.</w:t>
      </w:r>
      <w:r w:rsidRPr="005D6196">
        <w:t xml:space="preserve"> Insofar as the setting in Figures 3 and 4 is predominantly characterised by DS</w:t>
      </w:r>
      <w:r w:rsidRPr="005D6196">
        <w:rPr>
          <w:vertAlign w:val="superscript"/>
        </w:rPr>
        <w:t>-</w:t>
      </w:r>
      <w:r w:rsidRPr="005D6196">
        <w:t xml:space="preserve"> strategies, then </w:t>
      </w:r>
      <w:r w:rsidR="00C7222A" w:rsidRPr="005D6196">
        <w:t>the</w:t>
      </w:r>
      <w:r w:rsidRPr="005D6196">
        <w:t xml:space="preserve"> regard</w:t>
      </w:r>
      <w:r w:rsidR="00C7222A" w:rsidRPr="005D6196">
        <w:t xml:space="preserve"> </w:t>
      </w:r>
      <w:r w:rsidRPr="005D6196">
        <w:t xml:space="preserve">of the social scientist </w:t>
      </w:r>
      <w:r w:rsidR="00C7222A" w:rsidRPr="005D6196">
        <w:t xml:space="preserve">by the setting </w:t>
      </w:r>
      <w:r w:rsidRPr="005D6196">
        <w:t xml:space="preserve">can be described as </w:t>
      </w:r>
      <w:r w:rsidRPr="005D6196">
        <w:rPr>
          <w:i/>
        </w:rPr>
        <w:t>de-principling</w:t>
      </w:r>
      <w:r w:rsidRPr="005D6196">
        <w:t xml:space="preserve">. Indeed, this is also the impact of the recontextualising of educational research in official documents, which generally quote selectively, so losing the principled discourse that will have generated the extracts. Unfortunately, academic authors sometimes have a tendency to do the same violence to other research that they cite. Finally, the category, </w:t>
      </w:r>
      <w:r w:rsidRPr="005D6196">
        <w:rPr>
          <w:i/>
        </w:rPr>
        <w:t>improvising</w:t>
      </w:r>
      <w:r w:rsidRPr="005D6196">
        <w:t xml:space="preserve">, characterises what Lévi-Strauss (1972) referred to as ‘bricolage’—recruiting what is at hand in a semiotic or material construction or production—also, perhaps, </w:t>
      </w:r>
      <w:r w:rsidR="001A4353" w:rsidRPr="005D6196">
        <w:t xml:space="preserve">some aspects of </w:t>
      </w:r>
      <w:r w:rsidRPr="005D6196">
        <w:t>improvisation in jazz. To what extent might we construe DS</w:t>
      </w:r>
      <w:r w:rsidRPr="005D6196">
        <w:rPr>
          <w:vertAlign w:val="superscript"/>
        </w:rPr>
        <w:t>-</w:t>
      </w:r>
      <w:r w:rsidRPr="005D6196">
        <w:t xml:space="preserve"> pedagogic theory as constituting an </w:t>
      </w:r>
      <w:r w:rsidRPr="005D6196">
        <w:rPr>
          <w:i/>
        </w:rPr>
        <w:t>improvising</w:t>
      </w:r>
      <w:r w:rsidRPr="005D6196">
        <w:t xml:space="preserve"> </w:t>
      </w:r>
      <w:r w:rsidRPr="005D6196">
        <w:rPr>
          <w:i/>
        </w:rPr>
        <w:t>gaze</w:t>
      </w:r>
      <w:r w:rsidRPr="005D6196">
        <w:t xml:space="preserve"> in the recognition principles of its </w:t>
      </w:r>
      <w:r w:rsidRPr="005D6196">
        <w:rPr>
          <w:i/>
        </w:rPr>
        <w:t>fetch strategies</w:t>
      </w:r>
      <w:r w:rsidRPr="005D6196">
        <w:t xml:space="preserve">, the mathematical realisation principles effecting </w:t>
      </w:r>
      <w:r w:rsidRPr="005D6196">
        <w:rPr>
          <w:i/>
        </w:rPr>
        <w:t>rationalising</w:t>
      </w:r>
      <w:r w:rsidRPr="005D6196">
        <w:t xml:space="preserve"> or </w:t>
      </w:r>
      <w:r w:rsidRPr="005D6196">
        <w:rPr>
          <w:i/>
        </w:rPr>
        <w:t>re-principling</w:t>
      </w:r>
      <w:r w:rsidRPr="005D6196">
        <w:t xml:space="preserve"> recontextualisation?</w:t>
      </w:r>
    </w:p>
    <w:p w:rsidR="00CB314A" w:rsidRPr="005D6196" w:rsidRDefault="00187223" w:rsidP="00A8424C">
      <w:pPr>
        <w:keepNext/>
        <w:ind w:firstLine="567"/>
      </w:pPr>
      <w:r w:rsidRPr="005D6196">
        <w:t>In one way or another, when one activity casts its gaze on another, the outcome will always involve recontextualisation. This, of course, raises serious difficulties for any notion of functional or transferrable skills</w:t>
      </w:r>
      <w:r w:rsidR="00795347" w:rsidRPr="005D6196">
        <w:t xml:space="preserve">, yet the functionality of mathematics education is generally high on the list of priorities for the school curriculum. The Australian Curriculum </w:t>
      </w:r>
      <w:r w:rsidR="00CB314A" w:rsidRPr="005D6196">
        <w:t>Assessment and Reporting Authority (ACARA), for example stresses that the mathematics curriculum should</w:t>
      </w:r>
    </w:p>
    <w:p w:rsidR="00CB314A" w:rsidRPr="005D6196" w:rsidRDefault="00CB314A" w:rsidP="00A8424C">
      <w:pPr>
        <w:keepNext/>
        <w:ind w:firstLine="567"/>
      </w:pPr>
    </w:p>
    <w:p w:rsidR="00CB314A" w:rsidRPr="005D6196" w:rsidRDefault="00CB314A" w:rsidP="007D3E22">
      <w:pPr>
        <w:pStyle w:val="Quote"/>
      </w:pPr>
      <w:r w:rsidRPr="005D6196">
        <w:t xml:space="preserve">… </w:t>
      </w:r>
      <w:proofErr w:type="gramStart"/>
      <w:r w:rsidRPr="005D6196">
        <w:t>educate</w:t>
      </w:r>
      <w:proofErr w:type="gramEnd"/>
      <w:r w:rsidRPr="005D6196">
        <w:t xml:space="preserve"> students to be active, thinking citizens, interpreting the world mathematically, and using mathematics to help form their predictions and decisions about personal and financial priorities.</w:t>
      </w:r>
    </w:p>
    <w:p w:rsidR="00CB314A" w:rsidRPr="005D6196" w:rsidRDefault="00CB314A" w:rsidP="007D3E22">
      <w:pPr>
        <w:ind w:right="509"/>
        <w:jc w:val="right"/>
        <w:rPr>
          <w:sz w:val="20"/>
          <w:szCs w:val="20"/>
        </w:rPr>
      </w:pPr>
      <w:r w:rsidRPr="005D6196">
        <w:rPr>
          <w:sz w:val="20"/>
          <w:szCs w:val="20"/>
        </w:rPr>
        <w:t>(ACARA quoted by Sullivan, 2011)</w:t>
      </w:r>
    </w:p>
    <w:p w:rsidR="00CB314A" w:rsidRPr="005D6196" w:rsidRDefault="00CB314A" w:rsidP="00A8424C">
      <w:pPr>
        <w:keepNext/>
        <w:ind w:firstLine="567"/>
      </w:pPr>
    </w:p>
    <w:p w:rsidR="00187223" w:rsidRPr="005D6196" w:rsidRDefault="00CB314A" w:rsidP="00CB314A">
      <w:pPr>
        <w:keepNext/>
      </w:pPr>
      <w:r w:rsidRPr="005D6196">
        <w:t xml:space="preserve">The imposition of mathematical principles on decision making is always </w:t>
      </w:r>
      <w:r w:rsidRPr="005D6196">
        <w:rPr>
          <w:i/>
        </w:rPr>
        <w:t>rationalising</w:t>
      </w:r>
      <w:r w:rsidRPr="005D6196">
        <w:t xml:space="preserve"> or </w:t>
      </w:r>
      <w:r w:rsidR="00D57234" w:rsidRPr="005D6196">
        <w:t xml:space="preserve">(one suspects less frequently) </w:t>
      </w:r>
      <w:r w:rsidRPr="005D6196">
        <w:rPr>
          <w:i/>
        </w:rPr>
        <w:t>re-principling</w:t>
      </w:r>
      <w:r w:rsidRPr="005D6196">
        <w:t xml:space="preserve"> rec</w:t>
      </w:r>
      <w:r w:rsidR="00D57234" w:rsidRPr="005D6196">
        <w:t>ontextualisation: the world is frequently rationalised mathematically or by other DS</w:t>
      </w:r>
      <w:r w:rsidR="00D57234" w:rsidRPr="005D6196">
        <w:rPr>
          <w:vertAlign w:val="superscript"/>
        </w:rPr>
        <w:t>+</w:t>
      </w:r>
      <w:r w:rsidR="00D57234" w:rsidRPr="005D6196">
        <w:t xml:space="preserve"> practices, but, in practice, decisions seem often to be </w:t>
      </w:r>
      <w:r w:rsidR="0051078E" w:rsidRPr="005D6196">
        <w:t xml:space="preserve">apparently successfully </w:t>
      </w:r>
      <w:r w:rsidR="00D57234" w:rsidRPr="005D6196">
        <w:t xml:space="preserve">formulated on the basis of what is better described as </w:t>
      </w:r>
      <w:r w:rsidR="00D57234" w:rsidRPr="005D6196">
        <w:rPr>
          <w:i/>
        </w:rPr>
        <w:t>improvisation</w:t>
      </w:r>
      <w:r w:rsidR="0051078E" w:rsidRPr="005D6196">
        <w:t xml:space="preserve"> as</w:t>
      </w:r>
      <w:r w:rsidR="003567BA" w:rsidRPr="005D6196">
        <w:t>, for example,</w:t>
      </w:r>
      <w:r w:rsidR="0051078E" w:rsidRPr="005D6196">
        <w:t xml:space="preserve"> </w:t>
      </w:r>
      <w:r w:rsidR="006132EE" w:rsidRPr="005D6196">
        <w:t xml:space="preserve">many of the </w:t>
      </w:r>
      <w:r w:rsidR="003567BA" w:rsidRPr="005D6196">
        <w:t>approaches reported</w:t>
      </w:r>
      <w:r w:rsidR="006132EE" w:rsidRPr="005D6196">
        <w:t xml:space="preserve"> in Lave </w:t>
      </w:r>
      <w:r w:rsidR="006132EE" w:rsidRPr="005D6196">
        <w:rPr>
          <w:i/>
        </w:rPr>
        <w:t>et al</w:t>
      </w:r>
      <w:r w:rsidR="006132EE" w:rsidRPr="005D6196">
        <w:t xml:space="preserve"> (1984) illustrate. Even the natural sciences are not always as rational as </w:t>
      </w:r>
      <w:r w:rsidR="00FF6E9B" w:rsidRPr="005D6196">
        <w:t>we might think</w:t>
      </w:r>
      <w:r w:rsidR="006132EE" w:rsidRPr="005D6196">
        <w:t xml:space="preserve"> (see, famously, Latour &amp; Woolgar</w:t>
      </w:r>
      <w:r w:rsidR="00664691" w:rsidRPr="005D6196">
        <w:t>, 1979, and also Knorr Cetina, 1999, Collins &amp; Pinch (</w:t>
      </w:r>
      <w:r w:rsidR="00FF6E9B" w:rsidRPr="005D6196">
        <w:t>1998)</w:t>
      </w:r>
      <w:r w:rsidR="00D57234" w:rsidRPr="005D6196">
        <w:t xml:space="preserve">. What I have elsewhere (Dowling, 2007, 2009) referred to as </w:t>
      </w:r>
      <w:r w:rsidR="00D57234" w:rsidRPr="005D6196">
        <w:rPr>
          <w:i/>
        </w:rPr>
        <w:t>mathematicoscience</w:t>
      </w:r>
      <w:r w:rsidR="00D57234" w:rsidRPr="005D6196">
        <w:t xml:space="preserve"> </w:t>
      </w:r>
      <w:r w:rsidR="00FF6E9B" w:rsidRPr="005D6196">
        <w:t xml:space="preserve">is nevertheless hegemonic in educational policy </w:t>
      </w:r>
      <w:proofErr w:type="gramStart"/>
      <w:r w:rsidR="00FF6E9B" w:rsidRPr="005D6196">
        <w:t>discourse,</w:t>
      </w:r>
      <w:proofErr w:type="gramEnd"/>
      <w:r w:rsidRPr="005D6196">
        <w:t xml:space="preserve"> </w:t>
      </w:r>
      <w:r w:rsidR="00187223" w:rsidRPr="005D6196">
        <w:t>Here is the opening statement of the UK National Curriculum for Secondary Mathematics:</w:t>
      </w:r>
    </w:p>
    <w:p w:rsidR="00187223" w:rsidRPr="005D6196" w:rsidRDefault="00187223" w:rsidP="00191E2F">
      <w:pPr>
        <w:pStyle w:val="Quote"/>
      </w:pPr>
    </w:p>
    <w:p w:rsidR="00187223" w:rsidRPr="005D6196" w:rsidRDefault="00187223" w:rsidP="00191E2F">
      <w:pPr>
        <w:pStyle w:val="Quote"/>
      </w:pPr>
      <w:r w:rsidRPr="005D6196">
        <w:t xml:space="preserve">Mathematical thinking is important for all members of a modern society as a habit of mind for its use in the workplace, business and finance, and for personal decision-making. Mathematics is fundamental to national prosperity in providing tools for understanding science, engineering, technology and economics. It is essential in public </w:t>
      </w:r>
      <w:r w:rsidRPr="005D6196">
        <w:lastRenderedPageBreak/>
        <w:t>decision-making and for participation in the knowledge economy. Mathematics equips pupils with uniquely powerful ways to describe, analyse and change the world.</w:t>
      </w:r>
      <w:r w:rsidRPr="005D6196">
        <w:rPr>
          <w:rStyle w:val="FootnoteReference"/>
        </w:rPr>
        <w:footnoteReference w:id="15"/>
      </w:r>
    </w:p>
    <w:p w:rsidR="00187223" w:rsidRPr="005D6196" w:rsidRDefault="00187223" w:rsidP="00191E2F"/>
    <w:p w:rsidR="00187223" w:rsidRPr="005D6196" w:rsidRDefault="00187223" w:rsidP="00191E2F">
      <w:r w:rsidRPr="005D6196">
        <w:t xml:space="preserve">In this statement, mathematics is presented as being entirely for something other than itself and </w:t>
      </w:r>
      <w:r w:rsidR="0016750A" w:rsidRPr="005D6196">
        <w:t xml:space="preserve">this is presented </w:t>
      </w:r>
      <w:r w:rsidRPr="005D6196">
        <w:t xml:space="preserve">in the form of the </w:t>
      </w:r>
      <w:r w:rsidRPr="005D6196">
        <w:rPr>
          <w:i/>
        </w:rPr>
        <w:t>myth of participation</w:t>
      </w:r>
      <w:r w:rsidRPr="005D6196">
        <w:t xml:space="preserve"> (Dowling, 1998), which is to say, mathematics is a necessary facility for participation in the non-mathematical activities cited. Now, my analysis of recontextualisation and the examples given here and elsewhere (in particular in Dowling, 1998, 2007, and Dowling &amp; Burke, 2012) are sufficient to call into serious question the viability of the this proposition and, indeed, to reveal the mythical nature of the </w:t>
      </w:r>
      <w:r w:rsidRPr="005D6196">
        <w:rPr>
          <w:i/>
        </w:rPr>
        <w:t>myth of participation</w:t>
      </w:r>
      <w:r w:rsidRPr="005D6196">
        <w:t xml:space="preserve">. </w:t>
      </w:r>
      <w:r w:rsidR="003567BA" w:rsidRPr="005D6196">
        <w:t>Suspending this scepticism, however,</w:t>
      </w:r>
      <w:r w:rsidRPr="005D6196">
        <w:t xml:space="preserve"> it is </w:t>
      </w:r>
      <w:r w:rsidR="0016750A" w:rsidRPr="005D6196">
        <w:t>instructive</w:t>
      </w:r>
      <w:r w:rsidRPr="005D6196">
        <w:t xml:space="preserve"> to deploy the </w:t>
      </w:r>
      <w:r w:rsidRPr="005D6196">
        <w:rPr>
          <w:i/>
        </w:rPr>
        <w:t>domains of practice</w:t>
      </w:r>
      <w:r w:rsidRPr="005D6196">
        <w:t xml:space="preserve"> scheme in an analysis of GCSE mathematics papers</w:t>
      </w:r>
      <w:r w:rsidR="003567BA" w:rsidRPr="005D6196">
        <w:t xml:space="preserve"> in order to assess the extent to which they do indeed prioritise practical mathematics—mathematics for something other than itself</w:t>
      </w:r>
      <w:r w:rsidRPr="005D6196">
        <w:t>. I used the Foundation and Higher Tier papers from November and June 2009 and June 2010 that were available at the time on the AQA site</w:t>
      </w:r>
      <w:r w:rsidRPr="005D6196">
        <w:rPr>
          <w:rStyle w:val="FootnoteReference"/>
        </w:rPr>
        <w:footnoteReference w:id="16"/>
      </w:r>
      <w:r w:rsidRPr="005D6196">
        <w:t xml:space="preserve"> and analysed the items in terms of the four domains of action. As I have indicated above, the setting for </w:t>
      </w:r>
      <w:r w:rsidRPr="005D6196">
        <w:rPr>
          <w:i/>
        </w:rPr>
        <w:t>esoteric</w:t>
      </w:r>
      <w:r w:rsidRPr="005D6196">
        <w:t xml:space="preserve"> and </w:t>
      </w:r>
      <w:r w:rsidRPr="005D6196">
        <w:rPr>
          <w:i/>
        </w:rPr>
        <w:t>expressive domains</w:t>
      </w:r>
      <w:r w:rsidRPr="005D6196">
        <w:t xml:space="preserve"> is I</w:t>
      </w:r>
      <w:r w:rsidRPr="005D6196">
        <w:rPr>
          <w:vertAlign w:val="superscript"/>
        </w:rPr>
        <w:t>+</w:t>
      </w:r>
      <w:r w:rsidRPr="005D6196">
        <w:t xml:space="preserve"> mathematical </w:t>
      </w:r>
      <w:r w:rsidRPr="005D6196">
        <w:rPr>
          <w:i/>
        </w:rPr>
        <w:t>content</w:t>
      </w:r>
      <w:r w:rsidRPr="005D6196">
        <w:t xml:space="preserve">, differing in respect of the mode of </w:t>
      </w:r>
      <w:r w:rsidRPr="005D6196">
        <w:rPr>
          <w:i/>
        </w:rPr>
        <w:t>expression</w:t>
      </w:r>
      <w:r w:rsidRPr="005D6196">
        <w:t xml:space="preserve">, and the setting for the </w:t>
      </w:r>
      <w:r w:rsidRPr="005D6196">
        <w:rPr>
          <w:i/>
        </w:rPr>
        <w:t xml:space="preserve">public </w:t>
      </w:r>
      <w:r w:rsidRPr="005D6196">
        <w:t xml:space="preserve">and </w:t>
      </w:r>
      <w:r w:rsidRPr="005D6196">
        <w:rPr>
          <w:i/>
        </w:rPr>
        <w:t>descriptive domains</w:t>
      </w:r>
      <w:r w:rsidRPr="005D6196">
        <w:t xml:space="preserve"> is I</w:t>
      </w:r>
      <w:r w:rsidRPr="005D6196">
        <w:rPr>
          <w:vertAlign w:val="superscript"/>
        </w:rPr>
        <w:t>-</w:t>
      </w:r>
      <w:r w:rsidRPr="005D6196">
        <w:t xml:space="preserve"> content (non-mathematical), again differing in that the </w:t>
      </w:r>
      <w:r w:rsidRPr="005D6196">
        <w:rPr>
          <w:i/>
        </w:rPr>
        <w:t>descriptive domain</w:t>
      </w:r>
      <w:r w:rsidRPr="005D6196">
        <w:t xml:space="preserve"> incorporates I</w:t>
      </w:r>
      <w:r w:rsidRPr="005D6196">
        <w:rPr>
          <w:vertAlign w:val="superscript"/>
        </w:rPr>
        <w:t>+</w:t>
      </w:r>
      <w:r w:rsidRPr="005D6196">
        <w:t xml:space="preserve"> </w:t>
      </w:r>
      <w:r w:rsidRPr="005D6196">
        <w:rPr>
          <w:i/>
        </w:rPr>
        <w:t>expression</w:t>
      </w:r>
      <w:r w:rsidRPr="005D6196">
        <w:t xml:space="preserve">, whilst the </w:t>
      </w:r>
      <w:r w:rsidRPr="005D6196">
        <w:rPr>
          <w:i/>
        </w:rPr>
        <w:t>public domain</w:t>
      </w:r>
      <w:r w:rsidRPr="005D6196">
        <w:t xml:space="preserve"> does not. In coding, I used the item—differentiated by question number—as the unit of analysis.</w:t>
      </w:r>
      <w:r w:rsidRPr="005D6196">
        <w:rPr>
          <w:rStyle w:val="FootnoteReference"/>
        </w:rPr>
        <w:footnoteReference w:id="17"/>
      </w:r>
      <w:r w:rsidRPr="005D6196">
        <w:t xml:space="preserve"> There were two papers for each tier for each sitting, giving six Foundation papers and six </w:t>
      </w:r>
      <w:proofErr w:type="gramStart"/>
      <w:r w:rsidRPr="005D6196">
        <w:t>Higher</w:t>
      </w:r>
      <w:proofErr w:type="gramEnd"/>
      <w:r w:rsidRPr="005D6196">
        <w:t xml:space="preserve"> papers; the results in Figure 6 are aggregated for the two tiers, there being no substantial differences between sittings.</w:t>
      </w:r>
    </w:p>
    <w:p w:rsidR="00187223" w:rsidRPr="005D6196" w:rsidRDefault="00187223" w:rsidP="00E45D02">
      <w:pPr>
        <w:ind w:firstLine="567"/>
      </w:pPr>
    </w:p>
    <w:p w:rsidR="00187223" w:rsidRPr="005D6196" w:rsidRDefault="00187223" w:rsidP="0049088A">
      <w:pPr>
        <w:keepNext/>
        <w:rPr>
          <w:i/>
        </w:rPr>
      </w:pPr>
      <w:r w:rsidRPr="005D6196">
        <w:rPr>
          <w:i/>
        </w:rPr>
        <w:t>Figure 6: GCSE Papers by tier and domain of action</w:t>
      </w:r>
    </w:p>
    <w:p w:rsidR="00187223" w:rsidRPr="005D6196" w:rsidRDefault="00187223" w:rsidP="0049088A">
      <w:pPr>
        <w:keepNext/>
        <w:rPr>
          <w:i/>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310"/>
        <w:gridCol w:w="1030"/>
        <w:gridCol w:w="1030"/>
        <w:gridCol w:w="1030"/>
        <w:gridCol w:w="1030"/>
        <w:gridCol w:w="1030"/>
        <w:gridCol w:w="1031"/>
        <w:gridCol w:w="1031"/>
      </w:tblGrid>
      <w:tr w:rsidR="00187223" w:rsidRPr="005D6196" w:rsidTr="0026582D">
        <w:tc>
          <w:tcPr>
            <w:tcW w:w="1065" w:type="dxa"/>
          </w:tcPr>
          <w:p w:rsidR="00187223" w:rsidRPr="005D6196" w:rsidRDefault="00187223" w:rsidP="0026582D">
            <w:pPr>
              <w:keepNext/>
              <w:spacing w:before="60" w:after="60"/>
            </w:pPr>
          </w:p>
        </w:tc>
        <w:tc>
          <w:tcPr>
            <w:tcW w:w="7457" w:type="dxa"/>
            <w:gridSpan w:val="7"/>
            <w:tcBorders>
              <w:top w:val="single" w:sz="4" w:space="0" w:color="auto"/>
              <w:bottom w:val="single" w:sz="4" w:space="0" w:color="auto"/>
            </w:tcBorders>
          </w:tcPr>
          <w:p w:rsidR="00187223" w:rsidRPr="005D6196" w:rsidRDefault="00187223" w:rsidP="0026582D">
            <w:pPr>
              <w:keepNext/>
              <w:spacing w:before="60" w:after="60"/>
              <w:jc w:val="center"/>
            </w:pPr>
            <w:r w:rsidRPr="005D6196">
              <w:t>Domain of Action</w:t>
            </w:r>
          </w:p>
        </w:tc>
      </w:tr>
      <w:tr w:rsidR="00187223" w:rsidRPr="005D6196" w:rsidTr="0026582D">
        <w:tc>
          <w:tcPr>
            <w:tcW w:w="1065" w:type="dxa"/>
            <w:tcBorders>
              <w:bottom w:val="single" w:sz="4" w:space="0" w:color="auto"/>
            </w:tcBorders>
          </w:tcPr>
          <w:p w:rsidR="00187223" w:rsidRPr="005D6196" w:rsidRDefault="00187223" w:rsidP="0026582D">
            <w:pPr>
              <w:keepNext/>
              <w:spacing w:before="60" w:after="60"/>
            </w:pPr>
            <w:r w:rsidRPr="005D6196">
              <w:t>Tier</w:t>
            </w:r>
          </w:p>
        </w:tc>
        <w:tc>
          <w:tcPr>
            <w:tcW w:w="1065" w:type="dxa"/>
            <w:tcBorders>
              <w:top w:val="single" w:sz="4" w:space="0" w:color="auto"/>
              <w:bottom w:val="single" w:sz="4" w:space="0" w:color="auto"/>
            </w:tcBorders>
          </w:tcPr>
          <w:p w:rsidR="00187223" w:rsidRPr="005D6196" w:rsidRDefault="00187223" w:rsidP="0026582D">
            <w:pPr>
              <w:keepNext/>
              <w:spacing w:before="60" w:after="60"/>
              <w:jc w:val="center"/>
            </w:pPr>
            <w:r w:rsidRPr="005D6196">
              <w:t>ed</w:t>
            </w:r>
          </w:p>
        </w:tc>
        <w:tc>
          <w:tcPr>
            <w:tcW w:w="1065" w:type="dxa"/>
            <w:tcBorders>
              <w:top w:val="single" w:sz="4" w:space="0" w:color="auto"/>
              <w:bottom w:val="single" w:sz="4" w:space="0" w:color="auto"/>
            </w:tcBorders>
          </w:tcPr>
          <w:p w:rsidR="00187223" w:rsidRPr="005D6196" w:rsidRDefault="00187223" w:rsidP="0026582D">
            <w:pPr>
              <w:keepNext/>
              <w:spacing w:before="60" w:after="60"/>
              <w:jc w:val="center"/>
            </w:pPr>
            <w:r w:rsidRPr="005D6196">
              <w:t>xd</w:t>
            </w:r>
          </w:p>
        </w:tc>
        <w:tc>
          <w:tcPr>
            <w:tcW w:w="1065" w:type="dxa"/>
            <w:tcBorders>
              <w:top w:val="single" w:sz="4" w:space="0" w:color="auto"/>
              <w:bottom w:val="single" w:sz="4" w:space="0" w:color="auto"/>
            </w:tcBorders>
          </w:tcPr>
          <w:p w:rsidR="00187223" w:rsidRPr="005D6196" w:rsidRDefault="00187223" w:rsidP="0026582D">
            <w:pPr>
              <w:keepNext/>
              <w:spacing w:before="60" w:after="60"/>
              <w:jc w:val="center"/>
            </w:pPr>
            <w:r w:rsidRPr="005D6196">
              <w:t>dd</w:t>
            </w:r>
          </w:p>
        </w:tc>
        <w:tc>
          <w:tcPr>
            <w:tcW w:w="1065" w:type="dxa"/>
            <w:tcBorders>
              <w:top w:val="single" w:sz="4" w:space="0" w:color="auto"/>
              <w:bottom w:val="single" w:sz="4" w:space="0" w:color="auto"/>
            </w:tcBorders>
          </w:tcPr>
          <w:p w:rsidR="00187223" w:rsidRPr="005D6196" w:rsidRDefault="00187223" w:rsidP="0026582D">
            <w:pPr>
              <w:keepNext/>
              <w:spacing w:before="60" w:after="60"/>
              <w:jc w:val="center"/>
            </w:pPr>
            <w:r w:rsidRPr="005D6196">
              <w:t>pd</w:t>
            </w:r>
          </w:p>
        </w:tc>
        <w:tc>
          <w:tcPr>
            <w:tcW w:w="1065" w:type="dxa"/>
            <w:tcBorders>
              <w:top w:val="single" w:sz="4" w:space="0" w:color="auto"/>
              <w:bottom w:val="single" w:sz="4" w:space="0" w:color="auto"/>
            </w:tcBorders>
          </w:tcPr>
          <w:p w:rsidR="00187223" w:rsidRPr="005D6196" w:rsidRDefault="00187223" w:rsidP="0026582D">
            <w:pPr>
              <w:keepNext/>
              <w:spacing w:before="60" w:after="60"/>
              <w:jc w:val="center"/>
              <w:rPr>
                <w:b/>
              </w:rPr>
            </w:pPr>
            <w:r w:rsidRPr="005D6196">
              <w:rPr>
                <w:b/>
              </w:rPr>
              <w:t>ed + xd</w:t>
            </w:r>
          </w:p>
        </w:tc>
        <w:tc>
          <w:tcPr>
            <w:tcW w:w="1066" w:type="dxa"/>
            <w:tcBorders>
              <w:top w:val="single" w:sz="4" w:space="0" w:color="auto"/>
              <w:bottom w:val="single" w:sz="4" w:space="0" w:color="auto"/>
            </w:tcBorders>
          </w:tcPr>
          <w:p w:rsidR="00187223" w:rsidRPr="005D6196" w:rsidRDefault="00187223" w:rsidP="0026582D">
            <w:pPr>
              <w:keepNext/>
              <w:spacing w:before="60" w:after="60"/>
              <w:jc w:val="center"/>
              <w:rPr>
                <w:b/>
              </w:rPr>
            </w:pPr>
            <w:r w:rsidRPr="005D6196">
              <w:rPr>
                <w:b/>
              </w:rPr>
              <w:t>dd + pd</w:t>
            </w:r>
          </w:p>
        </w:tc>
        <w:tc>
          <w:tcPr>
            <w:tcW w:w="1066" w:type="dxa"/>
            <w:tcBorders>
              <w:top w:val="single" w:sz="4" w:space="0" w:color="auto"/>
              <w:bottom w:val="single" w:sz="4" w:space="0" w:color="auto"/>
            </w:tcBorders>
          </w:tcPr>
          <w:p w:rsidR="00187223" w:rsidRPr="005D6196" w:rsidRDefault="00187223" w:rsidP="0026582D">
            <w:pPr>
              <w:keepNext/>
              <w:spacing w:before="60" w:after="60"/>
              <w:jc w:val="center"/>
            </w:pPr>
            <w:r w:rsidRPr="005D6196">
              <w:t>Total</w:t>
            </w:r>
          </w:p>
        </w:tc>
      </w:tr>
      <w:tr w:rsidR="00187223" w:rsidRPr="005D6196" w:rsidTr="0026582D">
        <w:tc>
          <w:tcPr>
            <w:tcW w:w="1065" w:type="dxa"/>
            <w:tcBorders>
              <w:top w:val="single" w:sz="4" w:space="0" w:color="auto"/>
            </w:tcBorders>
          </w:tcPr>
          <w:p w:rsidR="00187223" w:rsidRPr="005D6196" w:rsidRDefault="00187223" w:rsidP="0026582D">
            <w:pPr>
              <w:keepNext/>
              <w:spacing w:before="60" w:after="60"/>
            </w:pPr>
            <w:r w:rsidRPr="005D6196">
              <w:t>Foundation</w:t>
            </w:r>
          </w:p>
        </w:tc>
        <w:tc>
          <w:tcPr>
            <w:tcW w:w="1065" w:type="dxa"/>
            <w:tcBorders>
              <w:top w:val="single" w:sz="4" w:space="0" w:color="auto"/>
            </w:tcBorders>
          </w:tcPr>
          <w:p w:rsidR="00187223" w:rsidRPr="005D6196" w:rsidRDefault="00187223" w:rsidP="0026582D">
            <w:pPr>
              <w:keepNext/>
              <w:tabs>
                <w:tab w:val="decimal" w:pos="533"/>
              </w:tabs>
              <w:spacing w:before="60" w:after="60"/>
            </w:pPr>
            <w:r w:rsidRPr="005D6196">
              <w:t>80</w:t>
            </w:r>
          </w:p>
        </w:tc>
        <w:tc>
          <w:tcPr>
            <w:tcW w:w="1065" w:type="dxa"/>
            <w:tcBorders>
              <w:top w:val="single" w:sz="4" w:space="0" w:color="auto"/>
            </w:tcBorders>
          </w:tcPr>
          <w:p w:rsidR="00187223" w:rsidRPr="005D6196" w:rsidRDefault="00187223" w:rsidP="0026582D">
            <w:pPr>
              <w:keepNext/>
              <w:tabs>
                <w:tab w:val="decimal" w:pos="533"/>
              </w:tabs>
              <w:spacing w:before="60" w:after="60"/>
            </w:pPr>
            <w:r w:rsidRPr="005D6196">
              <w:t>14</w:t>
            </w:r>
          </w:p>
        </w:tc>
        <w:tc>
          <w:tcPr>
            <w:tcW w:w="1065" w:type="dxa"/>
            <w:tcBorders>
              <w:top w:val="single" w:sz="4" w:space="0" w:color="auto"/>
            </w:tcBorders>
          </w:tcPr>
          <w:p w:rsidR="00187223" w:rsidRPr="005D6196" w:rsidRDefault="00187223" w:rsidP="0026582D">
            <w:pPr>
              <w:keepNext/>
              <w:tabs>
                <w:tab w:val="decimal" w:pos="533"/>
              </w:tabs>
              <w:spacing w:before="60" w:after="60"/>
            </w:pPr>
            <w:r w:rsidRPr="005D6196">
              <w:t>31</w:t>
            </w:r>
          </w:p>
        </w:tc>
        <w:tc>
          <w:tcPr>
            <w:tcW w:w="1065" w:type="dxa"/>
            <w:tcBorders>
              <w:top w:val="single" w:sz="4" w:space="0" w:color="auto"/>
            </w:tcBorders>
          </w:tcPr>
          <w:p w:rsidR="00187223" w:rsidRPr="005D6196" w:rsidRDefault="00187223" w:rsidP="0026582D">
            <w:pPr>
              <w:keepNext/>
              <w:tabs>
                <w:tab w:val="decimal" w:pos="533"/>
              </w:tabs>
              <w:spacing w:before="60" w:after="60"/>
            </w:pPr>
            <w:r w:rsidRPr="005D6196">
              <w:t>21</w:t>
            </w:r>
          </w:p>
        </w:tc>
        <w:tc>
          <w:tcPr>
            <w:tcW w:w="1065" w:type="dxa"/>
            <w:tcBorders>
              <w:top w:val="single" w:sz="4" w:space="0" w:color="auto"/>
            </w:tcBorders>
          </w:tcPr>
          <w:p w:rsidR="00187223" w:rsidRPr="005D6196" w:rsidRDefault="00187223" w:rsidP="0026582D">
            <w:pPr>
              <w:keepNext/>
              <w:tabs>
                <w:tab w:val="decimal" w:pos="533"/>
              </w:tabs>
              <w:spacing w:before="60" w:after="60"/>
              <w:rPr>
                <w:b/>
              </w:rPr>
            </w:pPr>
            <w:r w:rsidRPr="005D6196">
              <w:rPr>
                <w:b/>
              </w:rPr>
              <w:t>94</w:t>
            </w:r>
          </w:p>
        </w:tc>
        <w:tc>
          <w:tcPr>
            <w:tcW w:w="1066" w:type="dxa"/>
            <w:tcBorders>
              <w:top w:val="single" w:sz="4" w:space="0" w:color="auto"/>
            </w:tcBorders>
          </w:tcPr>
          <w:p w:rsidR="00187223" w:rsidRPr="005D6196" w:rsidRDefault="00187223" w:rsidP="0026582D">
            <w:pPr>
              <w:keepNext/>
              <w:tabs>
                <w:tab w:val="decimal" w:pos="533"/>
              </w:tabs>
              <w:spacing w:before="60" w:after="60"/>
              <w:rPr>
                <w:b/>
              </w:rPr>
            </w:pPr>
            <w:r w:rsidRPr="005D6196">
              <w:rPr>
                <w:b/>
              </w:rPr>
              <w:t>52</w:t>
            </w:r>
          </w:p>
        </w:tc>
        <w:tc>
          <w:tcPr>
            <w:tcW w:w="1066" w:type="dxa"/>
            <w:tcBorders>
              <w:top w:val="single" w:sz="4" w:space="0" w:color="auto"/>
            </w:tcBorders>
          </w:tcPr>
          <w:p w:rsidR="00187223" w:rsidRPr="005D6196" w:rsidRDefault="00187223" w:rsidP="0026582D">
            <w:pPr>
              <w:keepNext/>
              <w:tabs>
                <w:tab w:val="decimal" w:pos="533"/>
              </w:tabs>
              <w:spacing w:before="60" w:after="60"/>
            </w:pPr>
            <w:r w:rsidRPr="005D6196">
              <w:t>146</w:t>
            </w:r>
          </w:p>
        </w:tc>
      </w:tr>
      <w:tr w:rsidR="00187223" w:rsidRPr="005D6196" w:rsidTr="0026582D">
        <w:tc>
          <w:tcPr>
            <w:tcW w:w="1065" w:type="dxa"/>
          </w:tcPr>
          <w:p w:rsidR="00187223" w:rsidRPr="005D6196" w:rsidRDefault="00187223" w:rsidP="0026582D">
            <w:pPr>
              <w:keepNext/>
              <w:spacing w:before="60" w:after="60"/>
            </w:pPr>
            <w:r w:rsidRPr="005D6196">
              <w:t>Higher</w:t>
            </w:r>
          </w:p>
        </w:tc>
        <w:tc>
          <w:tcPr>
            <w:tcW w:w="1065" w:type="dxa"/>
          </w:tcPr>
          <w:p w:rsidR="00187223" w:rsidRPr="005D6196" w:rsidRDefault="00187223" w:rsidP="0026582D">
            <w:pPr>
              <w:keepNext/>
              <w:tabs>
                <w:tab w:val="decimal" w:pos="533"/>
              </w:tabs>
              <w:spacing w:before="60" w:after="60"/>
            </w:pPr>
            <w:r w:rsidRPr="005D6196">
              <w:t>98</w:t>
            </w:r>
          </w:p>
        </w:tc>
        <w:tc>
          <w:tcPr>
            <w:tcW w:w="1065" w:type="dxa"/>
          </w:tcPr>
          <w:p w:rsidR="00187223" w:rsidRPr="005D6196" w:rsidRDefault="00187223" w:rsidP="0026582D">
            <w:pPr>
              <w:keepNext/>
              <w:tabs>
                <w:tab w:val="decimal" w:pos="533"/>
              </w:tabs>
              <w:spacing w:before="60" w:after="60"/>
            </w:pPr>
            <w:r w:rsidRPr="005D6196">
              <w:t>8</w:t>
            </w:r>
          </w:p>
        </w:tc>
        <w:tc>
          <w:tcPr>
            <w:tcW w:w="1065" w:type="dxa"/>
          </w:tcPr>
          <w:p w:rsidR="00187223" w:rsidRPr="005D6196" w:rsidRDefault="00187223" w:rsidP="0026582D">
            <w:pPr>
              <w:keepNext/>
              <w:tabs>
                <w:tab w:val="decimal" w:pos="533"/>
              </w:tabs>
              <w:spacing w:before="60" w:after="60"/>
            </w:pPr>
            <w:r w:rsidRPr="005D6196">
              <w:t>30</w:t>
            </w:r>
          </w:p>
        </w:tc>
        <w:tc>
          <w:tcPr>
            <w:tcW w:w="1065" w:type="dxa"/>
          </w:tcPr>
          <w:p w:rsidR="00187223" w:rsidRPr="005D6196" w:rsidRDefault="00187223" w:rsidP="0026582D">
            <w:pPr>
              <w:keepNext/>
              <w:tabs>
                <w:tab w:val="decimal" w:pos="533"/>
              </w:tabs>
              <w:spacing w:before="60" w:after="60"/>
            </w:pPr>
            <w:r w:rsidRPr="005D6196">
              <w:t>13</w:t>
            </w:r>
          </w:p>
        </w:tc>
        <w:tc>
          <w:tcPr>
            <w:tcW w:w="1065" w:type="dxa"/>
          </w:tcPr>
          <w:p w:rsidR="00187223" w:rsidRPr="005D6196" w:rsidRDefault="00187223" w:rsidP="0026582D">
            <w:pPr>
              <w:keepNext/>
              <w:tabs>
                <w:tab w:val="decimal" w:pos="533"/>
              </w:tabs>
              <w:spacing w:before="60" w:after="60"/>
              <w:rPr>
                <w:b/>
              </w:rPr>
            </w:pPr>
            <w:r w:rsidRPr="005D6196">
              <w:rPr>
                <w:b/>
              </w:rPr>
              <w:t>106</w:t>
            </w:r>
          </w:p>
        </w:tc>
        <w:tc>
          <w:tcPr>
            <w:tcW w:w="1066" w:type="dxa"/>
          </w:tcPr>
          <w:p w:rsidR="00187223" w:rsidRPr="005D6196" w:rsidRDefault="00187223" w:rsidP="0026582D">
            <w:pPr>
              <w:keepNext/>
              <w:tabs>
                <w:tab w:val="decimal" w:pos="533"/>
              </w:tabs>
              <w:spacing w:before="60" w:after="60"/>
              <w:rPr>
                <w:b/>
              </w:rPr>
            </w:pPr>
            <w:r w:rsidRPr="005D6196">
              <w:rPr>
                <w:b/>
              </w:rPr>
              <w:t>43</w:t>
            </w:r>
          </w:p>
        </w:tc>
        <w:tc>
          <w:tcPr>
            <w:tcW w:w="1066" w:type="dxa"/>
          </w:tcPr>
          <w:p w:rsidR="00187223" w:rsidRPr="005D6196" w:rsidRDefault="00187223" w:rsidP="0026582D">
            <w:pPr>
              <w:keepNext/>
              <w:tabs>
                <w:tab w:val="decimal" w:pos="533"/>
              </w:tabs>
              <w:spacing w:before="60" w:after="60"/>
            </w:pPr>
            <w:r w:rsidRPr="005D6196">
              <w:t>149</w:t>
            </w:r>
          </w:p>
        </w:tc>
      </w:tr>
    </w:tbl>
    <w:p w:rsidR="00187223" w:rsidRPr="005D6196" w:rsidRDefault="00187223" w:rsidP="00191E2F">
      <w:pPr>
        <w:rPr>
          <w:sz w:val="20"/>
          <w:szCs w:val="20"/>
        </w:rPr>
      </w:pPr>
      <w:r w:rsidRPr="005D6196">
        <w:rPr>
          <w:sz w:val="20"/>
          <w:szCs w:val="20"/>
        </w:rPr>
        <w:t xml:space="preserve">Aggregate numbers of items on AQA Papers 1 and 2 for each of June &amp; November 2009 and June 2010; </w:t>
      </w:r>
      <w:proofErr w:type="gramStart"/>
      <w:r w:rsidRPr="005D6196">
        <w:rPr>
          <w:sz w:val="20"/>
          <w:szCs w:val="20"/>
        </w:rPr>
        <w:t>ed</w:t>
      </w:r>
      <w:proofErr w:type="gramEnd"/>
      <w:r w:rsidRPr="005D6196">
        <w:rPr>
          <w:sz w:val="20"/>
          <w:szCs w:val="20"/>
        </w:rPr>
        <w:t xml:space="preserve"> = esoteric domain; xd = expressive domain; dd = descriptive domain; pd = public domain</w:t>
      </w:r>
    </w:p>
    <w:p w:rsidR="00187223" w:rsidRPr="005D6196" w:rsidRDefault="00187223" w:rsidP="00191E2F"/>
    <w:p w:rsidR="00187223" w:rsidRPr="005D6196" w:rsidRDefault="00187223" w:rsidP="00A02381">
      <w:pPr>
        <w:ind w:firstLine="567"/>
      </w:pPr>
      <w:r w:rsidRPr="005D6196">
        <w:t xml:space="preserve">As I have indicated, the </w:t>
      </w:r>
      <w:r w:rsidRPr="005D6196">
        <w:rPr>
          <w:i/>
        </w:rPr>
        <w:t xml:space="preserve">esoteric </w:t>
      </w:r>
      <w:r w:rsidRPr="005D6196">
        <w:t xml:space="preserve">and </w:t>
      </w:r>
      <w:r w:rsidRPr="005D6196">
        <w:rPr>
          <w:i/>
        </w:rPr>
        <w:t>expressive domains</w:t>
      </w:r>
      <w:r w:rsidRPr="005D6196">
        <w:t xml:space="preserve"> both have </w:t>
      </w:r>
      <w:r w:rsidRPr="005D6196">
        <w:rPr>
          <w:i/>
        </w:rPr>
        <w:t>esoteric domain</w:t>
      </w:r>
      <w:r w:rsidRPr="005D6196">
        <w:t xml:space="preserve"> settings and so signify the </w:t>
      </w:r>
      <w:r w:rsidRPr="005D6196">
        <w:rPr>
          <w:i/>
        </w:rPr>
        <w:t>esoteric domain</w:t>
      </w:r>
      <w:r w:rsidRPr="005D6196">
        <w:t xml:space="preserve"> and, similarly, the </w:t>
      </w:r>
      <w:r w:rsidRPr="005D6196">
        <w:rPr>
          <w:i/>
        </w:rPr>
        <w:t>descriptive</w:t>
      </w:r>
      <w:r w:rsidRPr="005D6196">
        <w:t xml:space="preserve"> and </w:t>
      </w:r>
      <w:r w:rsidRPr="005D6196">
        <w:rPr>
          <w:i/>
        </w:rPr>
        <w:t>public domains</w:t>
      </w:r>
      <w:r w:rsidRPr="005D6196">
        <w:t xml:space="preserve"> signify the </w:t>
      </w:r>
      <w:r w:rsidRPr="005D6196">
        <w:rPr>
          <w:i/>
        </w:rPr>
        <w:t>public domain</w:t>
      </w:r>
      <w:r w:rsidRPr="005D6196">
        <w:t xml:space="preserve">. Focusing, then, on the </w:t>
      </w:r>
      <w:r w:rsidRPr="005D6196">
        <w:rPr>
          <w:i/>
        </w:rPr>
        <w:t>esoteric/expressive</w:t>
      </w:r>
      <w:r w:rsidRPr="005D6196">
        <w:t xml:space="preserve"> and </w:t>
      </w:r>
      <w:r w:rsidRPr="005D6196">
        <w:rPr>
          <w:i/>
        </w:rPr>
        <w:t>descriptive/public</w:t>
      </w:r>
      <w:r w:rsidRPr="005D6196">
        <w:t xml:space="preserve"> totals (in bold in the table) there are approximately twice as many </w:t>
      </w:r>
      <w:r w:rsidRPr="005D6196">
        <w:rPr>
          <w:i/>
        </w:rPr>
        <w:t>esoteric domain</w:t>
      </w:r>
      <w:r w:rsidRPr="005D6196">
        <w:t xml:space="preserve"> settings in these papers as there are </w:t>
      </w:r>
      <w:r w:rsidRPr="005D6196">
        <w:rPr>
          <w:i/>
        </w:rPr>
        <w:t>public domain</w:t>
      </w:r>
      <w:r w:rsidRPr="005D6196">
        <w:t xml:space="preserve"> settings—a little less on the Foundation Tier, a little more on the Higher Tier. When combined </w:t>
      </w:r>
      <w:r w:rsidRPr="005D6196">
        <w:lastRenderedPageBreak/>
        <w:t xml:space="preserve">with the more or less transformative impact of recontextualisation on </w:t>
      </w:r>
      <w:r w:rsidR="005D6196" w:rsidRPr="005D6196">
        <w:rPr>
          <w:i/>
        </w:rPr>
        <w:t>public</w:t>
      </w:r>
      <w:r w:rsidRPr="005D6196">
        <w:rPr>
          <w:i/>
        </w:rPr>
        <w:t xml:space="preserve"> domain</w:t>
      </w:r>
      <w:r w:rsidRPr="005D6196">
        <w:t xml:space="preserve"> settings—illustrated here only via the restaurant item, but consistent throughout these items—it seems clear that there is a substantial mismatch between the summative assessment of the National Curriculum as represented in these papers and the stated aims of the curriculum</w:t>
      </w:r>
      <w:r w:rsidR="0055100F" w:rsidRPr="005D6196">
        <w:t xml:space="preserve">: as central as practical mathematics may be in the stated aims of the curriculum, it is clearly rather sidelined in </w:t>
      </w:r>
      <w:r w:rsidR="003F0B16" w:rsidRPr="005D6196">
        <w:t>the</w:t>
      </w:r>
      <w:r w:rsidR="00CD4082" w:rsidRPr="005D6196">
        <w:t>se</w:t>
      </w:r>
      <w:r w:rsidR="0055100F" w:rsidRPr="005D6196">
        <w:t xml:space="preserve"> assessment instruments</w:t>
      </w:r>
      <w:r w:rsidRPr="005D6196">
        <w:t>.</w:t>
      </w:r>
    </w:p>
    <w:p w:rsidR="00187223" w:rsidRPr="005D6196" w:rsidRDefault="00187223" w:rsidP="00191E2F"/>
    <w:p w:rsidR="00187223" w:rsidRPr="005D6196" w:rsidRDefault="00187223" w:rsidP="00624B79">
      <w:pPr>
        <w:ind w:firstLine="567"/>
        <w:rPr>
          <w:i/>
          <w:sz w:val="28"/>
          <w:szCs w:val="28"/>
        </w:rPr>
      </w:pPr>
      <w:r w:rsidRPr="005D6196">
        <w:rPr>
          <w:i/>
          <w:sz w:val="28"/>
          <w:szCs w:val="28"/>
        </w:rPr>
        <w:t>Mathematics and the esoteric domain</w:t>
      </w:r>
    </w:p>
    <w:p w:rsidR="00187223" w:rsidRPr="005D6196" w:rsidRDefault="00187223" w:rsidP="00624B79">
      <w:pPr>
        <w:ind w:firstLine="567"/>
      </w:pPr>
    </w:p>
    <w:p w:rsidR="00187223" w:rsidRPr="005D6196" w:rsidRDefault="00D81328" w:rsidP="006B2D2A">
      <w:r w:rsidRPr="005D6196">
        <w:t xml:space="preserve">Practical mathematics is not all there is to the </w:t>
      </w:r>
      <w:r w:rsidR="008A612C" w:rsidRPr="005D6196">
        <w:t xml:space="preserve">school </w:t>
      </w:r>
      <w:r w:rsidRPr="005D6196">
        <w:t>curriculum. Sullivan (2011), amongst many others, asserts that both ‘practical’ and ‘specialised’ mathematics should be present</w:t>
      </w:r>
      <w:r w:rsidR="008A612C" w:rsidRPr="005D6196">
        <w:t>, though with the former dominating. In my terms, specialised mathematical knowledge</w:t>
      </w:r>
      <w:r w:rsidR="008A612C" w:rsidRPr="005D6196">
        <w:rPr>
          <w:rStyle w:val="FootnoteReference"/>
        </w:rPr>
        <w:footnoteReference w:id="18"/>
      </w:r>
      <w:r w:rsidR="008A612C" w:rsidRPr="005D6196">
        <w:t xml:space="preserve"> is constituted in the </w:t>
      </w:r>
      <w:r w:rsidR="008A612C" w:rsidRPr="005D6196">
        <w:rPr>
          <w:i/>
        </w:rPr>
        <w:t>esoteric domain</w:t>
      </w:r>
      <w:r w:rsidR="008A612C" w:rsidRPr="005D6196">
        <w:t xml:space="preserve"> and f</w:t>
      </w:r>
      <w:r w:rsidR="00187223" w:rsidRPr="005D6196">
        <w:t>inally</w:t>
      </w:r>
      <w:r w:rsidR="008A612C" w:rsidRPr="005D6196">
        <w:t xml:space="preserve"> in this paper</w:t>
      </w:r>
      <w:r w:rsidR="00187223" w:rsidRPr="005D6196">
        <w:t xml:space="preserve"> I want to put some detail</w:t>
      </w:r>
      <w:r w:rsidR="008A612C" w:rsidRPr="005D6196">
        <w:t xml:space="preserve"> onto this domain</w:t>
      </w:r>
      <w:r w:rsidR="00187223" w:rsidRPr="005D6196">
        <w:t xml:space="preserve">. Duval (2006), as has already been mentioned, constitutes mathematics in terms of a ‘range of semiotic representation systems’ (p. 108) and the representation to which he is referring is of mathematical objects. This keeps us within the </w:t>
      </w:r>
      <w:r w:rsidR="00187223" w:rsidRPr="005D6196">
        <w:rPr>
          <w:i/>
        </w:rPr>
        <w:t>esoteric domain</w:t>
      </w:r>
      <w:r w:rsidR="00187223" w:rsidRPr="005D6196">
        <w:t xml:space="preserve"> and is perhaps consistent with Bernstein’s characterisation of mathematics as a ‘horizontal knowledge structure’. It is clearly the case that we can topicalise mathematics (algebra, trigonometry, probability, set theory, and so forth) and we can use what Gunther Kress (2003) and others refer to as different ‘modes of representation’ in mathematical text; I have, of course, already rejected the term ‘representation’ for what I can now refer to as </w:t>
      </w:r>
      <w:r w:rsidR="00187223" w:rsidRPr="005D6196">
        <w:rPr>
          <w:i/>
        </w:rPr>
        <w:t>esoteric domain</w:t>
      </w:r>
      <w:r w:rsidR="00187223" w:rsidRPr="005D6196">
        <w:t xml:space="preserve"> or </w:t>
      </w:r>
      <w:r w:rsidR="00187223" w:rsidRPr="005D6196">
        <w:rPr>
          <w:i/>
        </w:rPr>
        <w:t>public domain</w:t>
      </w:r>
      <w:r w:rsidR="00187223" w:rsidRPr="005D6196">
        <w:t xml:space="preserve"> objects. I do not find it helpful to describe mathematics in either of these </w:t>
      </w:r>
      <w:r w:rsidR="00AF5479" w:rsidRPr="005D6196">
        <w:t>ways</w:t>
      </w:r>
      <w:r w:rsidR="00187223" w:rsidRPr="005D6196">
        <w:t xml:space="preserve">. Rather, I want to describe the mathematical </w:t>
      </w:r>
      <w:r w:rsidR="00187223" w:rsidRPr="005D6196">
        <w:rPr>
          <w:i/>
        </w:rPr>
        <w:t>esoteric domain</w:t>
      </w:r>
      <w:r w:rsidR="00187223" w:rsidRPr="005D6196">
        <w:t xml:space="preserve"> of school mathematics as itself consisting of an assemblage of strategies that includes: i) discursive definitions, principles, theorems and so forth; ii) visual exemplars, most obviously in the area of geometry; iii) formal nomenclatures (the decimal representation of number, for example) and heuristics; and iv) instrumentation (calculators, computers, geometric instruments, and so forth). Now this empirically based list can be reconceptualised as a complex apparatus that exhibits variation in semiotic mode—discursive (available within language)/non-discursive (not available within language)—and action—interpretive/procedural. This gives rise to the schema in Figure 7.</w:t>
      </w:r>
    </w:p>
    <w:p w:rsidR="006E3196" w:rsidRPr="005D6196" w:rsidRDefault="006E3196" w:rsidP="006E3196">
      <w:pPr>
        <w:ind w:firstLine="567"/>
      </w:pPr>
      <w:r w:rsidRPr="005D6196">
        <w:t xml:space="preserve">Now, quite clearly, the categories constituted in Figure 7 refer to general/generalisable aspects of the </w:t>
      </w:r>
      <w:r w:rsidRPr="005D6196">
        <w:rPr>
          <w:i/>
        </w:rPr>
        <w:t>esoteric domain</w:t>
      </w:r>
      <w:r w:rsidRPr="005D6196">
        <w:t xml:space="preserve">; a </w:t>
      </w:r>
      <w:r w:rsidRPr="005D6196">
        <w:rPr>
          <w:i/>
        </w:rPr>
        <w:t>template</w:t>
      </w:r>
      <w:r w:rsidRPr="005D6196">
        <w:t xml:space="preserve"> would be of little use if it constituted a unique instance. These general modes are then repeated as local instances, giving rise to a three-dimensional schema, represented in Figure 8. I’ll take a GCSE item, shown in Figure 9 to illustrate the scheme. The statements at the head of the item and the reference to the ‘angle, marked </w:t>
      </w:r>
      <w:r w:rsidRPr="005D6196">
        <w:rPr>
          <w:i/>
        </w:rPr>
        <w:t>x</w:t>
      </w:r>
      <w:r w:rsidRPr="005D6196">
        <w:t xml:space="preserve">, on the diagram’ are instances of localised </w:t>
      </w:r>
      <w:r w:rsidRPr="005D6196">
        <w:rPr>
          <w:i/>
        </w:rPr>
        <w:t>theorems</w:t>
      </w:r>
      <w:r w:rsidRPr="005D6196">
        <w:t xml:space="preserve">, which is to say, </w:t>
      </w:r>
      <w:r w:rsidRPr="005D6196">
        <w:rPr>
          <w:i/>
        </w:rPr>
        <w:t>enunciations</w:t>
      </w:r>
      <w:r w:rsidRPr="005D6196">
        <w:t xml:space="preserve">. The diagram itself is a </w:t>
      </w:r>
      <w:r w:rsidRPr="005D6196">
        <w:rPr>
          <w:i/>
        </w:rPr>
        <w:t>graph</w:t>
      </w:r>
      <w:r w:rsidRPr="005D6196">
        <w:t xml:space="preserve">—a local, non-discursive, interpretive strategy. The rest of the text consists of instructions that pertain to assessment and so we might say that this relates to ‘pedagogic theory’. The statement, ‘Not drawn accurately’ is clearly important in disabling the </w:t>
      </w:r>
      <w:r w:rsidRPr="005D6196">
        <w:lastRenderedPageBreak/>
        <w:t xml:space="preserve">deployment of an </w:t>
      </w:r>
      <w:r w:rsidRPr="005D6196">
        <w:rPr>
          <w:i/>
        </w:rPr>
        <w:t>operational matrix</w:t>
      </w:r>
      <w:r w:rsidRPr="005D6196">
        <w:t xml:space="preserve">—a protractor—in solving the item via an </w:t>
      </w:r>
      <w:r w:rsidRPr="005D6196">
        <w:rPr>
          <w:i/>
        </w:rPr>
        <w:t>operation</w:t>
      </w:r>
      <w:r w:rsidRPr="005D6196">
        <w:t xml:space="preserve"> (measuring the angle on the diagram).</w:t>
      </w:r>
    </w:p>
    <w:p w:rsidR="00187223" w:rsidRPr="005D6196" w:rsidRDefault="00187223" w:rsidP="001A6662"/>
    <w:p w:rsidR="00187223" w:rsidRPr="005D6196" w:rsidRDefault="00187223" w:rsidP="001A3AD0">
      <w:pPr>
        <w:keepNext/>
        <w:rPr>
          <w:i/>
        </w:rPr>
      </w:pPr>
      <w:r w:rsidRPr="005D6196">
        <w:rPr>
          <w:i/>
        </w:rPr>
        <w:t>Figure 7: Modality of esoteric domain strategy</w:t>
      </w:r>
    </w:p>
    <w:p w:rsidR="00187223" w:rsidRPr="005D6196" w:rsidRDefault="00187223" w:rsidP="001A3AD0">
      <w:pPr>
        <w:keepNext/>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40"/>
        <w:gridCol w:w="2841"/>
        <w:gridCol w:w="2841"/>
      </w:tblGrid>
      <w:tr w:rsidR="00187223" w:rsidRPr="005D6196" w:rsidTr="00202C53">
        <w:tc>
          <w:tcPr>
            <w:tcW w:w="2840" w:type="dxa"/>
          </w:tcPr>
          <w:p w:rsidR="00187223" w:rsidRPr="005D6196" w:rsidRDefault="00187223" w:rsidP="001A3AD0">
            <w:pPr>
              <w:keepNext/>
              <w:spacing w:before="120" w:after="120"/>
            </w:pPr>
          </w:p>
        </w:tc>
        <w:tc>
          <w:tcPr>
            <w:tcW w:w="5682" w:type="dxa"/>
            <w:gridSpan w:val="2"/>
            <w:tcBorders>
              <w:top w:val="single" w:sz="4" w:space="0" w:color="auto"/>
              <w:bottom w:val="single" w:sz="4" w:space="0" w:color="auto"/>
            </w:tcBorders>
          </w:tcPr>
          <w:p w:rsidR="00187223" w:rsidRPr="005D6196" w:rsidRDefault="00187223" w:rsidP="001A3AD0">
            <w:pPr>
              <w:keepNext/>
              <w:spacing w:before="120" w:after="120"/>
              <w:jc w:val="center"/>
            </w:pPr>
            <w:r w:rsidRPr="005D6196">
              <w:t>Semiotic Mode</w:t>
            </w:r>
          </w:p>
        </w:tc>
      </w:tr>
      <w:tr w:rsidR="00187223" w:rsidRPr="005D6196" w:rsidTr="00202C53">
        <w:tc>
          <w:tcPr>
            <w:tcW w:w="2840" w:type="dxa"/>
            <w:tcBorders>
              <w:bottom w:val="single" w:sz="4" w:space="0" w:color="auto"/>
            </w:tcBorders>
          </w:tcPr>
          <w:p w:rsidR="00187223" w:rsidRPr="005D6196" w:rsidRDefault="00187223" w:rsidP="001A3AD0">
            <w:pPr>
              <w:keepNext/>
              <w:spacing w:before="120" w:after="120"/>
              <w:jc w:val="center"/>
            </w:pPr>
            <w:r w:rsidRPr="005D6196">
              <w:t>Mode of Action</w:t>
            </w:r>
          </w:p>
        </w:tc>
        <w:tc>
          <w:tcPr>
            <w:tcW w:w="2841" w:type="dxa"/>
            <w:tcBorders>
              <w:top w:val="single" w:sz="4" w:space="0" w:color="auto"/>
              <w:bottom w:val="single" w:sz="4" w:space="0" w:color="auto"/>
            </w:tcBorders>
          </w:tcPr>
          <w:p w:rsidR="00187223" w:rsidRPr="005D6196" w:rsidRDefault="00187223" w:rsidP="001A3AD0">
            <w:pPr>
              <w:keepNext/>
              <w:spacing w:before="120" w:after="120"/>
              <w:jc w:val="center"/>
            </w:pPr>
            <w:r w:rsidRPr="005D6196">
              <w:t>Discursive</w:t>
            </w:r>
          </w:p>
        </w:tc>
        <w:tc>
          <w:tcPr>
            <w:tcW w:w="2841" w:type="dxa"/>
            <w:tcBorders>
              <w:top w:val="single" w:sz="4" w:space="0" w:color="auto"/>
              <w:bottom w:val="single" w:sz="4" w:space="0" w:color="auto"/>
            </w:tcBorders>
          </w:tcPr>
          <w:p w:rsidR="00187223" w:rsidRPr="005D6196" w:rsidRDefault="00187223" w:rsidP="001A3AD0">
            <w:pPr>
              <w:keepNext/>
              <w:spacing w:before="120" w:after="120"/>
              <w:jc w:val="center"/>
            </w:pPr>
            <w:r w:rsidRPr="005D6196">
              <w:t>Non-discursive</w:t>
            </w:r>
          </w:p>
        </w:tc>
      </w:tr>
      <w:tr w:rsidR="00187223" w:rsidRPr="005D6196" w:rsidTr="00202C53">
        <w:tc>
          <w:tcPr>
            <w:tcW w:w="2840" w:type="dxa"/>
            <w:tcBorders>
              <w:top w:val="single" w:sz="4" w:space="0" w:color="auto"/>
            </w:tcBorders>
          </w:tcPr>
          <w:p w:rsidR="00187223" w:rsidRPr="005D6196" w:rsidRDefault="00187223" w:rsidP="001A3AD0">
            <w:pPr>
              <w:keepNext/>
              <w:spacing w:before="120" w:after="120"/>
              <w:ind w:left="567"/>
            </w:pPr>
            <w:r w:rsidRPr="005D6196">
              <w:t>Interpretive</w:t>
            </w:r>
          </w:p>
        </w:tc>
        <w:tc>
          <w:tcPr>
            <w:tcW w:w="2841" w:type="dxa"/>
            <w:tcBorders>
              <w:top w:val="single" w:sz="4" w:space="0" w:color="auto"/>
            </w:tcBorders>
          </w:tcPr>
          <w:p w:rsidR="00187223" w:rsidRPr="005D6196" w:rsidRDefault="00187223" w:rsidP="001A3AD0">
            <w:pPr>
              <w:keepNext/>
              <w:spacing w:before="120" w:after="120"/>
              <w:jc w:val="center"/>
              <w:rPr>
                <w:i/>
              </w:rPr>
            </w:pPr>
            <w:r w:rsidRPr="005D6196">
              <w:rPr>
                <w:i/>
              </w:rPr>
              <w:t>theorem</w:t>
            </w:r>
          </w:p>
        </w:tc>
        <w:tc>
          <w:tcPr>
            <w:tcW w:w="2841" w:type="dxa"/>
            <w:tcBorders>
              <w:top w:val="single" w:sz="4" w:space="0" w:color="auto"/>
            </w:tcBorders>
          </w:tcPr>
          <w:p w:rsidR="00187223" w:rsidRPr="005D6196" w:rsidRDefault="00187223" w:rsidP="001A3AD0">
            <w:pPr>
              <w:keepNext/>
              <w:spacing w:before="120" w:after="120"/>
              <w:jc w:val="center"/>
              <w:rPr>
                <w:i/>
              </w:rPr>
            </w:pPr>
            <w:r w:rsidRPr="005D6196">
              <w:rPr>
                <w:i/>
              </w:rPr>
              <w:t>template</w:t>
            </w:r>
          </w:p>
        </w:tc>
      </w:tr>
      <w:tr w:rsidR="00187223" w:rsidRPr="005D6196" w:rsidTr="00202C53">
        <w:tc>
          <w:tcPr>
            <w:tcW w:w="2840" w:type="dxa"/>
          </w:tcPr>
          <w:p w:rsidR="00187223" w:rsidRPr="005D6196" w:rsidRDefault="00187223" w:rsidP="001A3AD0">
            <w:pPr>
              <w:keepNext/>
              <w:spacing w:before="120" w:after="120"/>
              <w:ind w:left="567"/>
            </w:pPr>
            <w:r w:rsidRPr="005D6196">
              <w:t>Procedural</w:t>
            </w:r>
          </w:p>
        </w:tc>
        <w:tc>
          <w:tcPr>
            <w:tcW w:w="2841" w:type="dxa"/>
          </w:tcPr>
          <w:p w:rsidR="00187223" w:rsidRPr="005D6196" w:rsidRDefault="00187223" w:rsidP="001A3AD0">
            <w:pPr>
              <w:keepNext/>
              <w:spacing w:before="120" w:after="120"/>
              <w:jc w:val="center"/>
              <w:rPr>
                <w:i/>
              </w:rPr>
            </w:pPr>
            <w:r w:rsidRPr="005D6196">
              <w:rPr>
                <w:i/>
              </w:rPr>
              <w:t>procedure</w:t>
            </w:r>
          </w:p>
        </w:tc>
        <w:tc>
          <w:tcPr>
            <w:tcW w:w="2841" w:type="dxa"/>
          </w:tcPr>
          <w:p w:rsidR="00187223" w:rsidRPr="005D6196" w:rsidRDefault="00187223" w:rsidP="001A3AD0">
            <w:pPr>
              <w:keepNext/>
              <w:spacing w:before="120" w:after="120"/>
              <w:jc w:val="center"/>
              <w:rPr>
                <w:i/>
              </w:rPr>
            </w:pPr>
            <w:r w:rsidRPr="005D6196">
              <w:rPr>
                <w:i/>
              </w:rPr>
              <w:t>operational matrix</w:t>
            </w:r>
          </w:p>
        </w:tc>
      </w:tr>
    </w:tbl>
    <w:p w:rsidR="00187223" w:rsidRPr="005D6196" w:rsidRDefault="00187223" w:rsidP="001A3AD0"/>
    <w:p w:rsidR="00187223" w:rsidRPr="005D6196" w:rsidRDefault="00187223" w:rsidP="006B2D2A">
      <w:pPr>
        <w:ind w:firstLine="567"/>
      </w:pPr>
      <w:r w:rsidRPr="005D6196">
        <w:t xml:space="preserve">Denied the operational mode, we need to consider what the </w:t>
      </w:r>
      <w:r w:rsidRPr="005D6196">
        <w:rPr>
          <w:i/>
        </w:rPr>
        <w:t xml:space="preserve">esoteric domain </w:t>
      </w:r>
      <w:r w:rsidRPr="005D6196">
        <w:t xml:space="preserve">has to offer that might be of assistance to us. Essentially, we are looking for general </w:t>
      </w:r>
      <w:r w:rsidRPr="005D6196">
        <w:rPr>
          <w:i/>
        </w:rPr>
        <w:t xml:space="preserve">interpretative </w:t>
      </w:r>
      <w:r w:rsidRPr="005D6196">
        <w:t xml:space="preserve">or </w:t>
      </w:r>
      <w:r w:rsidRPr="005D6196">
        <w:rPr>
          <w:i/>
        </w:rPr>
        <w:t xml:space="preserve">procedural </w:t>
      </w:r>
      <w:r w:rsidRPr="005D6196">
        <w:t xml:space="preserve">strategies. One approach is to look for </w:t>
      </w:r>
      <w:r w:rsidRPr="005D6196">
        <w:rPr>
          <w:i/>
        </w:rPr>
        <w:t>templates</w:t>
      </w:r>
      <w:r w:rsidRPr="005D6196">
        <w:t xml:space="preserve"> that resonate with the diagram in the task and we might refer to this as a </w:t>
      </w:r>
      <w:r w:rsidRPr="005D6196">
        <w:rPr>
          <w:i/>
        </w:rPr>
        <w:t>procedure</w:t>
      </w:r>
      <w:r w:rsidRPr="005D6196">
        <w:t xml:space="preserve"> or, with direct reference to the problem </w:t>
      </w:r>
      <w:r w:rsidRPr="005D6196">
        <w:rPr>
          <w:i/>
        </w:rPr>
        <w:t>graph</w:t>
      </w:r>
      <w:r w:rsidRPr="005D6196">
        <w:t xml:space="preserve">, as a </w:t>
      </w:r>
      <w:r w:rsidRPr="005D6196">
        <w:rPr>
          <w:i/>
        </w:rPr>
        <w:t>protocol</w:t>
      </w:r>
      <w:r w:rsidRPr="005D6196">
        <w:t xml:space="preserve">. Three resonant </w:t>
      </w:r>
      <w:r w:rsidRPr="005D6196">
        <w:rPr>
          <w:i/>
        </w:rPr>
        <w:t>templates</w:t>
      </w:r>
      <w:r w:rsidRPr="005D6196">
        <w:t xml:space="preserve"> are shown in Figures 10, 11 and 12. The titles of each figure include reference to a </w:t>
      </w:r>
      <w:r w:rsidRPr="005D6196">
        <w:rPr>
          <w:i/>
        </w:rPr>
        <w:t>theorem</w:t>
      </w:r>
      <w:r w:rsidRPr="005D6196">
        <w:t xml:space="preserve">. The advantage of the </w:t>
      </w:r>
      <w:r w:rsidRPr="005D6196">
        <w:rPr>
          <w:i/>
        </w:rPr>
        <w:t>template</w:t>
      </w:r>
      <w:r w:rsidRPr="005D6196">
        <w:t xml:space="preserve"> format, however, is that we can potentially recognise the </w:t>
      </w:r>
      <w:r w:rsidRPr="005D6196">
        <w:rPr>
          <w:i/>
        </w:rPr>
        <w:t>template</w:t>
      </w:r>
      <w:r w:rsidRPr="005D6196">
        <w:t xml:space="preserve"> in the problem </w:t>
      </w:r>
      <w:r w:rsidRPr="005D6196">
        <w:rPr>
          <w:i/>
        </w:rPr>
        <w:t>graph</w:t>
      </w:r>
      <w:r w:rsidRPr="005D6196">
        <w:t xml:space="preserve">. I have made this easier for those who are at some distance from their study of school geometry by constructing the </w:t>
      </w:r>
      <w:r w:rsidRPr="005D6196">
        <w:rPr>
          <w:i/>
        </w:rPr>
        <w:t>templates</w:t>
      </w:r>
      <w:r w:rsidRPr="005D6196">
        <w:t xml:space="preserve"> by selecting from my digital drawing (in Adobe </w:t>
      </w:r>
      <w:r w:rsidRPr="005D6196">
        <w:rPr>
          <w:i/>
        </w:rPr>
        <w:t>Illustrator</w:t>
      </w:r>
      <w:r w:rsidRPr="005D6196">
        <w:t xml:space="preserve">) of the problem graph; this strategy is, of course, the opposite way around from the approach that a GCSE candidate would take in solving the problem. It should be quite easy to visualise the three </w:t>
      </w:r>
      <w:r w:rsidRPr="005D6196">
        <w:rPr>
          <w:i/>
        </w:rPr>
        <w:t>templates</w:t>
      </w:r>
      <w:r w:rsidRPr="005D6196">
        <w:t xml:space="preserve"> in the </w:t>
      </w:r>
      <w:r w:rsidRPr="005D6196">
        <w:rPr>
          <w:i/>
        </w:rPr>
        <w:t>graph</w:t>
      </w:r>
      <w:r w:rsidRPr="005D6196">
        <w:t xml:space="preserve">, so we can conclude that: angle </w:t>
      </w:r>
      <w:r w:rsidRPr="005D6196">
        <w:rPr>
          <w:i/>
        </w:rPr>
        <w:t>ACD</w:t>
      </w:r>
      <w:r w:rsidRPr="005D6196">
        <w:t xml:space="preserve"> = 40</w:t>
      </w:r>
      <w:r w:rsidRPr="005D6196">
        <w:rPr>
          <w:vertAlign w:val="superscript"/>
        </w:rPr>
        <w:t>o</w:t>
      </w:r>
      <w:r w:rsidRPr="005D6196">
        <w:t xml:space="preserve"> (from Figure 10); angle </w:t>
      </w:r>
      <w:r w:rsidRPr="005D6196">
        <w:rPr>
          <w:i/>
        </w:rPr>
        <w:t xml:space="preserve">DAE </w:t>
      </w:r>
      <w:r w:rsidRPr="005D6196">
        <w:t>= 40</w:t>
      </w:r>
      <w:r w:rsidRPr="005D6196">
        <w:rPr>
          <w:vertAlign w:val="superscript"/>
        </w:rPr>
        <w:t>o</w:t>
      </w:r>
      <w:r w:rsidRPr="005D6196">
        <w:t xml:space="preserve"> (from Figure 11); so angle </w:t>
      </w:r>
      <w:r w:rsidRPr="005D6196">
        <w:rPr>
          <w:i/>
        </w:rPr>
        <w:t>CAE</w:t>
      </w:r>
      <w:r w:rsidRPr="005D6196">
        <w:t xml:space="preserve"> = 32</w:t>
      </w:r>
      <w:r w:rsidRPr="005D6196">
        <w:rPr>
          <w:vertAlign w:val="superscript"/>
        </w:rPr>
        <w:t>o</w:t>
      </w:r>
      <w:r w:rsidRPr="005D6196">
        <w:t xml:space="preserve"> + 40</w:t>
      </w:r>
      <w:r w:rsidRPr="005D6196">
        <w:rPr>
          <w:vertAlign w:val="superscript"/>
        </w:rPr>
        <w:t>o</w:t>
      </w:r>
      <w:r w:rsidRPr="005D6196">
        <w:t xml:space="preserve"> = 72</w:t>
      </w:r>
      <w:r w:rsidRPr="005D6196">
        <w:rPr>
          <w:vertAlign w:val="superscript"/>
        </w:rPr>
        <w:t>o</w:t>
      </w:r>
      <w:r w:rsidRPr="005D6196">
        <w:t xml:space="preserve">; and, finally, angle </w:t>
      </w:r>
      <w:r w:rsidRPr="005D6196">
        <w:rPr>
          <w:i/>
        </w:rPr>
        <w:t>x</w:t>
      </w:r>
      <w:r w:rsidRPr="005D6196">
        <w:t xml:space="preserve"> = 180</w:t>
      </w:r>
      <w:r w:rsidRPr="005D6196">
        <w:rPr>
          <w:vertAlign w:val="superscript"/>
        </w:rPr>
        <w:t>o</w:t>
      </w:r>
      <w:r w:rsidRPr="005D6196">
        <w:t xml:space="preserve"> – (40 + 72</w:t>
      </w:r>
      <w:proofErr w:type="gramStart"/>
      <w:r w:rsidRPr="005D6196">
        <w:t>)</w:t>
      </w:r>
      <w:r w:rsidRPr="005D6196">
        <w:rPr>
          <w:vertAlign w:val="superscript"/>
        </w:rPr>
        <w:t>o</w:t>
      </w:r>
      <w:proofErr w:type="gramEnd"/>
      <w:r w:rsidRPr="005D6196">
        <w:t xml:space="preserve"> = 68</w:t>
      </w:r>
      <w:r w:rsidRPr="005D6196">
        <w:rPr>
          <w:vertAlign w:val="superscript"/>
        </w:rPr>
        <w:t>o</w:t>
      </w:r>
      <w:r w:rsidRPr="005D6196">
        <w:t xml:space="preserve"> (from Figure 12). These statements are all </w:t>
      </w:r>
      <w:r w:rsidRPr="005D6196">
        <w:rPr>
          <w:i/>
        </w:rPr>
        <w:t>enunciations</w:t>
      </w:r>
      <w:r w:rsidRPr="005D6196">
        <w:t xml:space="preserve"> or localised </w:t>
      </w:r>
      <w:r w:rsidRPr="005D6196">
        <w:rPr>
          <w:i/>
        </w:rPr>
        <w:t>theorems</w:t>
      </w:r>
      <w:r w:rsidRPr="005D6196">
        <w:t>.</w:t>
      </w:r>
    </w:p>
    <w:p w:rsidR="00187223" w:rsidRPr="005D6196" w:rsidRDefault="00187223" w:rsidP="001A3AD0"/>
    <w:p w:rsidR="00187223" w:rsidRPr="005D6196" w:rsidRDefault="00187223" w:rsidP="006B2D2A">
      <w:pPr>
        <w:keepNext/>
        <w:rPr>
          <w:i/>
        </w:rPr>
      </w:pPr>
      <w:r w:rsidRPr="005D6196">
        <w:rPr>
          <w:i/>
        </w:rPr>
        <w:t>Figure 8: Modality of general and local esoteric domain apparatus</w:t>
      </w:r>
    </w:p>
    <w:p w:rsidR="00187223" w:rsidRPr="005D6196" w:rsidRDefault="00187223" w:rsidP="006B2D2A">
      <w:pPr>
        <w:keepNext/>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840"/>
        <w:gridCol w:w="2841"/>
        <w:gridCol w:w="2841"/>
      </w:tblGrid>
      <w:tr w:rsidR="00187223" w:rsidRPr="005D6196" w:rsidTr="00202C53">
        <w:tc>
          <w:tcPr>
            <w:tcW w:w="2840" w:type="dxa"/>
          </w:tcPr>
          <w:p w:rsidR="00187223" w:rsidRPr="005D6196" w:rsidRDefault="00187223" w:rsidP="006B2D2A">
            <w:pPr>
              <w:keepNext/>
              <w:spacing w:before="120" w:after="120"/>
            </w:pPr>
          </w:p>
        </w:tc>
        <w:tc>
          <w:tcPr>
            <w:tcW w:w="5682" w:type="dxa"/>
            <w:gridSpan w:val="2"/>
            <w:tcBorders>
              <w:top w:val="single" w:sz="4" w:space="0" w:color="auto"/>
              <w:bottom w:val="single" w:sz="4" w:space="0" w:color="auto"/>
            </w:tcBorders>
          </w:tcPr>
          <w:p w:rsidR="00187223" w:rsidRPr="005D6196" w:rsidRDefault="00187223" w:rsidP="006B2D2A">
            <w:pPr>
              <w:keepNext/>
              <w:spacing w:before="120" w:after="120"/>
              <w:jc w:val="center"/>
            </w:pPr>
            <w:r w:rsidRPr="005D6196">
              <w:t>Semiotic Mode</w:t>
            </w:r>
          </w:p>
        </w:tc>
      </w:tr>
      <w:tr w:rsidR="00187223" w:rsidRPr="005D6196" w:rsidTr="00CB295C">
        <w:tc>
          <w:tcPr>
            <w:tcW w:w="2840" w:type="dxa"/>
            <w:tcBorders>
              <w:bottom w:val="single" w:sz="4" w:space="0" w:color="auto"/>
            </w:tcBorders>
          </w:tcPr>
          <w:p w:rsidR="00187223" w:rsidRPr="005D6196" w:rsidRDefault="00187223" w:rsidP="006B2D2A">
            <w:pPr>
              <w:keepNext/>
              <w:spacing w:before="120" w:after="120"/>
              <w:jc w:val="center"/>
            </w:pPr>
            <w:r w:rsidRPr="005D6196">
              <w:t>Mode of Action</w:t>
            </w:r>
          </w:p>
        </w:tc>
        <w:tc>
          <w:tcPr>
            <w:tcW w:w="2841" w:type="dxa"/>
            <w:tcBorders>
              <w:top w:val="single" w:sz="4" w:space="0" w:color="auto"/>
              <w:bottom w:val="single" w:sz="4" w:space="0" w:color="auto"/>
            </w:tcBorders>
          </w:tcPr>
          <w:p w:rsidR="00187223" w:rsidRPr="005D6196" w:rsidRDefault="00187223" w:rsidP="006B2D2A">
            <w:pPr>
              <w:keepNext/>
              <w:spacing w:before="120" w:after="120"/>
              <w:jc w:val="center"/>
            </w:pPr>
            <w:r w:rsidRPr="005D6196">
              <w:t>Discursive</w:t>
            </w:r>
          </w:p>
        </w:tc>
        <w:tc>
          <w:tcPr>
            <w:tcW w:w="2841" w:type="dxa"/>
            <w:tcBorders>
              <w:top w:val="single" w:sz="4" w:space="0" w:color="auto"/>
              <w:bottom w:val="single" w:sz="4" w:space="0" w:color="auto"/>
            </w:tcBorders>
          </w:tcPr>
          <w:p w:rsidR="00187223" w:rsidRPr="005D6196" w:rsidRDefault="00187223" w:rsidP="006B2D2A">
            <w:pPr>
              <w:keepNext/>
              <w:spacing w:before="120" w:after="120"/>
              <w:jc w:val="center"/>
            </w:pPr>
            <w:r w:rsidRPr="005D6196">
              <w:t>Non-discursive</w:t>
            </w:r>
          </w:p>
        </w:tc>
      </w:tr>
      <w:tr w:rsidR="00187223" w:rsidRPr="005D6196" w:rsidTr="00CB295C">
        <w:tc>
          <w:tcPr>
            <w:tcW w:w="2840" w:type="dxa"/>
            <w:tcBorders>
              <w:top w:val="single" w:sz="4" w:space="0" w:color="auto"/>
              <w:bottom w:val="nil"/>
            </w:tcBorders>
          </w:tcPr>
          <w:p w:rsidR="00187223" w:rsidRPr="005D6196" w:rsidRDefault="00187223" w:rsidP="006B2D2A">
            <w:pPr>
              <w:keepNext/>
              <w:spacing w:before="120" w:after="120"/>
            </w:pPr>
            <w:r w:rsidRPr="005D6196">
              <w:t>General</w:t>
            </w:r>
          </w:p>
        </w:tc>
        <w:tc>
          <w:tcPr>
            <w:tcW w:w="2841" w:type="dxa"/>
            <w:tcBorders>
              <w:top w:val="single" w:sz="4" w:space="0" w:color="auto"/>
              <w:bottom w:val="nil"/>
            </w:tcBorders>
          </w:tcPr>
          <w:p w:rsidR="00187223" w:rsidRPr="005D6196" w:rsidRDefault="00187223" w:rsidP="006B2D2A">
            <w:pPr>
              <w:keepNext/>
              <w:spacing w:before="120" w:after="120"/>
              <w:jc w:val="center"/>
              <w:rPr>
                <w:i/>
              </w:rPr>
            </w:pPr>
          </w:p>
        </w:tc>
        <w:tc>
          <w:tcPr>
            <w:tcW w:w="2841" w:type="dxa"/>
            <w:tcBorders>
              <w:top w:val="single" w:sz="4" w:space="0" w:color="auto"/>
              <w:bottom w:val="nil"/>
            </w:tcBorders>
          </w:tcPr>
          <w:p w:rsidR="00187223" w:rsidRPr="005D6196" w:rsidRDefault="00187223" w:rsidP="006B2D2A">
            <w:pPr>
              <w:keepNext/>
              <w:spacing w:before="120" w:after="120"/>
              <w:jc w:val="center"/>
              <w:rPr>
                <w:i/>
              </w:rPr>
            </w:pPr>
          </w:p>
        </w:tc>
      </w:tr>
      <w:tr w:rsidR="00187223" w:rsidRPr="005D6196" w:rsidTr="00CB295C">
        <w:tc>
          <w:tcPr>
            <w:tcW w:w="2840" w:type="dxa"/>
            <w:tcBorders>
              <w:top w:val="nil"/>
            </w:tcBorders>
          </w:tcPr>
          <w:p w:rsidR="00187223" w:rsidRPr="005D6196" w:rsidRDefault="00187223" w:rsidP="006B2D2A">
            <w:pPr>
              <w:keepNext/>
              <w:spacing w:before="120" w:after="120"/>
              <w:ind w:left="567"/>
            </w:pPr>
            <w:r w:rsidRPr="005D6196">
              <w:t>Interpretive</w:t>
            </w:r>
          </w:p>
        </w:tc>
        <w:tc>
          <w:tcPr>
            <w:tcW w:w="2841" w:type="dxa"/>
            <w:tcBorders>
              <w:top w:val="nil"/>
            </w:tcBorders>
          </w:tcPr>
          <w:p w:rsidR="00187223" w:rsidRPr="005D6196" w:rsidRDefault="00187223" w:rsidP="006B2D2A">
            <w:pPr>
              <w:keepNext/>
              <w:spacing w:before="120" w:after="120"/>
              <w:jc w:val="center"/>
              <w:rPr>
                <w:i/>
              </w:rPr>
            </w:pPr>
            <w:r w:rsidRPr="005D6196">
              <w:rPr>
                <w:i/>
              </w:rPr>
              <w:t>theorem</w:t>
            </w:r>
          </w:p>
        </w:tc>
        <w:tc>
          <w:tcPr>
            <w:tcW w:w="2841" w:type="dxa"/>
            <w:tcBorders>
              <w:top w:val="nil"/>
            </w:tcBorders>
          </w:tcPr>
          <w:p w:rsidR="00187223" w:rsidRPr="005D6196" w:rsidRDefault="00187223" w:rsidP="006B2D2A">
            <w:pPr>
              <w:keepNext/>
              <w:spacing w:before="120" w:after="120"/>
              <w:jc w:val="center"/>
              <w:rPr>
                <w:i/>
              </w:rPr>
            </w:pPr>
            <w:r w:rsidRPr="005D6196">
              <w:rPr>
                <w:i/>
              </w:rPr>
              <w:t>template</w:t>
            </w:r>
          </w:p>
        </w:tc>
      </w:tr>
      <w:tr w:rsidR="00187223" w:rsidRPr="005D6196" w:rsidTr="00CB295C">
        <w:tc>
          <w:tcPr>
            <w:tcW w:w="2840" w:type="dxa"/>
            <w:tcBorders>
              <w:bottom w:val="nil"/>
            </w:tcBorders>
          </w:tcPr>
          <w:p w:rsidR="00187223" w:rsidRPr="005D6196" w:rsidRDefault="00187223" w:rsidP="006B2D2A">
            <w:pPr>
              <w:keepNext/>
              <w:spacing w:before="120" w:after="120"/>
              <w:ind w:left="567"/>
            </w:pPr>
            <w:r w:rsidRPr="005D6196">
              <w:t>Procedural</w:t>
            </w:r>
          </w:p>
        </w:tc>
        <w:tc>
          <w:tcPr>
            <w:tcW w:w="2841" w:type="dxa"/>
          </w:tcPr>
          <w:p w:rsidR="00187223" w:rsidRPr="005D6196" w:rsidRDefault="00187223" w:rsidP="006B2D2A">
            <w:pPr>
              <w:keepNext/>
              <w:spacing w:before="120" w:after="120"/>
              <w:jc w:val="center"/>
              <w:rPr>
                <w:i/>
              </w:rPr>
            </w:pPr>
            <w:r w:rsidRPr="005D6196">
              <w:rPr>
                <w:i/>
              </w:rPr>
              <w:t>procedure</w:t>
            </w:r>
          </w:p>
        </w:tc>
        <w:tc>
          <w:tcPr>
            <w:tcW w:w="2841" w:type="dxa"/>
          </w:tcPr>
          <w:p w:rsidR="00187223" w:rsidRPr="005D6196" w:rsidRDefault="00187223" w:rsidP="006B2D2A">
            <w:pPr>
              <w:keepNext/>
              <w:spacing w:before="120" w:after="120"/>
              <w:jc w:val="center"/>
              <w:rPr>
                <w:i/>
              </w:rPr>
            </w:pPr>
            <w:r w:rsidRPr="005D6196">
              <w:rPr>
                <w:i/>
              </w:rPr>
              <w:t>operational matrix</w:t>
            </w:r>
          </w:p>
        </w:tc>
      </w:tr>
      <w:tr w:rsidR="00187223" w:rsidRPr="005D6196" w:rsidTr="00CB295C">
        <w:tc>
          <w:tcPr>
            <w:tcW w:w="2840" w:type="dxa"/>
            <w:tcBorders>
              <w:top w:val="nil"/>
              <w:bottom w:val="nil"/>
            </w:tcBorders>
          </w:tcPr>
          <w:p w:rsidR="00187223" w:rsidRPr="005D6196" w:rsidRDefault="00187223" w:rsidP="006B2D2A">
            <w:pPr>
              <w:keepNext/>
              <w:spacing w:before="120" w:after="120"/>
            </w:pPr>
            <w:r w:rsidRPr="005D6196">
              <w:t>Local</w:t>
            </w:r>
          </w:p>
        </w:tc>
        <w:tc>
          <w:tcPr>
            <w:tcW w:w="2841" w:type="dxa"/>
          </w:tcPr>
          <w:p w:rsidR="00187223" w:rsidRPr="005D6196" w:rsidRDefault="00187223" w:rsidP="006B2D2A">
            <w:pPr>
              <w:keepNext/>
              <w:spacing w:before="120" w:after="120"/>
              <w:jc w:val="center"/>
              <w:rPr>
                <w:i/>
              </w:rPr>
            </w:pPr>
          </w:p>
        </w:tc>
        <w:tc>
          <w:tcPr>
            <w:tcW w:w="2841" w:type="dxa"/>
          </w:tcPr>
          <w:p w:rsidR="00187223" w:rsidRPr="005D6196" w:rsidRDefault="00187223" w:rsidP="006B2D2A">
            <w:pPr>
              <w:keepNext/>
              <w:spacing w:before="120" w:after="120"/>
              <w:jc w:val="center"/>
              <w:rPr>
                <w:i/>
              </w:rPr>
            </w:pPr>
          </w:p>
        </w:tc>
      </w:tr>
      <w:tr w:rsidR="00187223" w:rsidRPr="005D6196" w:rsidTr="00CB295C">
        <w:tc>
          <w:tcPr>
            <w:tcW w:w="2840" w:type="dxa"/>
            <w:tcBorders>
              <w:top w:val="nil"/>
            </w:tcBorders>
          </w:tcPr>
          <w:p w:rsidR="00187223" w:rsidRPr="005D6196" w:rsidRDefault="00187223" w:rsidP="006B2D2A">
            <w:pPr>
              <w:keepNext/>
              <w:spacing w:before="120" w:after="120"/>
              <w:ind w:left="567"/>
            </w:pPr>
            <w:r w:rsidRPr="005D6196">
              <w:t>Interpretive</w:t>
            </w:r>
          </w:p>
        </w:tc>
        <w:tc>
          <w:tcPr>
            <w:tcW w:w="2841" w:type="dxa"/>
          </w:tcPr>
          <w:p w:rsidR="00187223" w:rsidRPr="005D6196" w:rsidRDefault="00187223" w:rsidP="006B2D2A">
            <w:pPr>
              <w:keepNext/>
              <w:spacing w:before="120" w:after="120"/>
              <w:jc w:val="center"/>
              <w:rPr>
                <w:i/>
              </w:rPr>
            </w:pPr>
            <w:r w:rsidRPr="005D6196">
              <w:rPr>
                <w:i/>
              </w:rPr>
              <w:t>enunciation</w:t>
            </w:r>
          </w:p>
        </w:tc>
        <w:tc>
          <w:tcPr>
            <w:tcW w:w="2841" w:type="dxa"/>
          </w:tcPr>
          <w:p w:rsidR="00187223" w:rsidRPr="005D6196" w:rsidRDefault="00187223" w:rsidP="006B2D2A">
            <w:pPr>
              <w:keepNext/>
              <w:spacing w:before="120" w:after="120"/>
              <w:jc w:val="center"/>
              <w:rPr>
                <w:i/>
              </w:rPr>
            </w:pPr>
            <w:r w:rsidRPr="005D6196">
              <w:rPr>
                <w:i/>
              </w:rPr>
              <w:t>graph</w:t>
            </w:r>
          </w:p>
        </w:tc>
      </w:tr>
      <w:tr w:rsidR="00187223" w:rsidRPr="005D6196" w:rsidTr="00202C53">
        <w:tc>
          <w:tcPr>
            <w:tcW w:w="2840" w:type="dxa"/>
          </w:tcPr>
          <w:p w:rsidR="00187223" w:rsidRPr="005D6196" w:rsidRDefault="00187223" w:rsidP="006B2D2A">
            <w:pPr>
              <w:keepNext/>
              <w:spacing w:before="120" w:after="120"/>
              <w:ind w:left="567"/>
            </w:pPr>
            <w:r w:rsidRPr="005D6196">
              <w:t>Procedural</w:t>
            </w:r>
          </w:p>
        </w:tc>
        <w:tc>
          <w:tcPr>
            <w:tcW w:w="2841" w:type="dxa"/>
          </w:tcPr>
          <w:p w:rsidR="00187223" w:rsidRPr="005D6196" w:rsidRDefault="00187223" w:rsidP="006B2D2A">
            <w:pPr>
              <w:keepNext/>
              <w:spacing w:before="120" w:after="120"/>
              <w:jc w:val="center"/>
              <w:rPr>
                <w:i/>
              </w:rPr>
            </w:pPr>
            <w:r w:rsidRPr="005D6196">
              <w:rPr>
                <w:i/>
              </w:rPr>
              <w:t>protocol</w:t>
            </w:r>
          </w:p>
        </w:tc>
        <w:tc>
          <w:tcPr>
            <w:tcW w:w="2841" w:type="dxa"/>
          </w:tcPr>
          <w:p w:rsidR="00187223" w:rsidRPr="005D6196" w:rsidRDefault="00187223" w:rsidP="006B2D2A">
            <w:pPr>
              <w:keepNext/>
              <w:spacing w:before="120" w:after="120"/>
              <w:jc w:val="center"/>
              <w:rPr>
                <w:i/>
              </w:rPr>
            </w:pPr>
            <w:r w:rsidRPr="005D6196">
              <w:rPr>
                <w:i/>
              </w:rPr>
              <w:t>operation</w:t>
            </w:r>
          </w:p>
        </w:tc>
      </w:tr>
    </w:tbl>
    <w:p w:rsidR="00187223" w:rsidRPr="005D6196" w:rsidRDefault="00187223" w:rsidP="001A3AD0"/>
    <w:p w:rsidR="00187223" w:rsidRPr="005D6196" w:rsidRDefault="00187223" w:rsidP="00B11EEF">
      <w:pPr>
        <w:ind w:firstLine="567"/>
      </w:pPr>
    </w:p>
    <w:p w:rsidR="00187223" w:rsidRPr="005D6196" w:rsidRDefault="00187223" w:rsidP="006265E9">
      <w:pPr>
        <w:keepNext/>
        <w:rPr>
          <w:rFonts w:cs="Times New Roman"/>
          <w:i/>
          <w:iCs/>
        </w:rPr>
      </w:pPr>
      <w:r w:rsidRPr="005D6196">
        <w:rPr>
          <w:rFonts w:cs="Times New Roman"/>
          <w:i/>
          <w:iCs/>
        </w:rPr>
        <w:lastRenderedPageBreak/>
        <w:t>Figure 9: GCSE Paper 1H June 2010 redrawn from item 24</w:t>
      </w:r>
    </w:p>
    <w:p w:rsidR="00187223" w:rsidRPr="005D6196" w:rsidRDefault="00187223" w:rsidP="006265E9">
      <w:pPr>
        <w:keepNext/>
      </w:pPr>
    </w:p>
    <w:p w:rsidR="00187223" w:rsidRPr="005D6196" w:rsidRDefault="00187223" w:rsidP="006265E9">
      <w:pPr>
        <w:keepNext/>
        <w:rPr>
          <w:rFonts w:cs="Times New Roman"/>
          <w:iCs/>
        </w:rPr>
      </w:pPr>
      <w:r w:rsidRPr="005D6196">
        <w:rPr>
          <w:rFonts w:cs="Times New Roman"/>
          <w:i/>
          <w:iCs/>
        </w:rPr>
        <w:t>ABCD</w:t>
      </w:r>
      <w:r w:rsidRPr="005D6196">
        <w:rPr>
          <w:rFonts w:cs="Times New Roman"/>
          <w:iCs/>
        </w:rPr>
        <w:t xml:space="preserve"> is a cyclic quadrilateral.</w:t>
      </w:r>
    </w:p>
    <w:p w:rsidR="00187223" w:rsidRPr="005D6196" w:rsidRDefault="00187223" w:rsidP="006265E9">
      <w:pPr>
        <w:keepNext/>
        <w:rPr>
          <w:rFonts w:cs="Times New Roman"/>
          <w:i/>
          <w:iCs/>
        </w:rPr>
      </w:pPr>
      <w:r w:rsidRPr="005D6196">
        <w:rPr>
          <w:rFonts w:cs="Times New Roman"/>
          <w:i/>
          <w:iCs/>
        </w:rPr>
        <w:t xml:space="preserve">AE </w:t>
      </w:r>
      <w:r w:rsidRPr="005D6196">
        <w:rPr>
          <w:rFonts w:cs="Times New Roman"/>
          <w:iCs/>
        </w:rPr>
        <w:t xml:space="preserve">is a tangent at </w:t>
      </w:r>
      <w:r w:rsidRPr="005D6196">
        <w:rPr>
          <w:rFonts w:cs="Times New Roman"/>
          <w:i/>
          <w:iCs/>
        </w:rPr>
        <w:t>A.</w:t>
      </w:r>
    </w:p>
    <w:p w:rsidR="00187223" w:rsidRPr="005D6196" w:rsidRDefault="00187223" w:rsidP="006265E9">
      <w:pPr>
        <w:keepNext/>
        <w:rPr>
          <w:rFonts w:cs="Times New Roman"/>
          <w:iCs/>
        </w:rPr>
      </w:pPr>
      <w:r w:rsidRPr="005D6196">
        <w:rPr>
          <w:rFonts w:cs="Times New Roman"/>
          <w:i/>
          <w:iCs/>
        </w:rPr>
        <w:t xml:space="preserve">CDE </w:t>
      </w:r>
      <w:r w:rsidRPr="005D6196">
        <w:rPr>
          <w:rFonts w:cs="Times New Roman"/>
          <w:iCs/>
        </w:rPr>
        <w:t>is a straight line.</w:t>
      </w:r>
    </w:p>
    <w:p w:rsidR="00187223" w:rsidRPr="005D6196" w:rsidRDefault="00187223" w:rsidP="006265E9">
      <w:pPr>
        <w:keepNext/>
        <w:rPr>
          <w:rFonts w:cs="Times New Roman"/>
          <w:iCs/>
        </w:rPr>
      </w:pPr>
      <w:r w:rsidRPr="005D6196">
        <w:rPr>
          <w:rFonts w:cs="Times New Roman"/>
          <w:iCs/>
        </w:rPr>
        <w:t xml:space="preserve">Angle </w:t>
      </w:r>
      <w:r w:rsidRPr="005D6196">
        <w:rPr>
          <w:rFonts w:cs="Times New Roman"/>
          <w:i/>
          <w:iCs/>
        </w:rPr>
        <w:t>CAD</w:t>
      </w:r>
      <w:r w:rsidRPr="005D6196">
        <w:rPr>
          <w:rFonts w:cs="Times New Roman"/>
          <w:iCs/>
        </w:rPr>
        <w:t xml:space="preserve"> = 32</w:t>
      </w:r>
      <w:r w:rsidRPr="005D6196">
        <w:rPr>
          <w:rFonts w:cs="Times New Roman"/>
          <w:iCs/>
          <w:vertAlign w:val="superscript"/>
        </w:rPr>
        <w:t>o</w:t>
      </w:r>
    </w:p>
    <w:p w:rsidR="00187223" w:rsidRPr="005D6196" w:rsidRDefault="00187223" w:rsidP="006265E9">
      <w:pPr>
        <w:keepNext/>
        <w:rPr>
          <w:rFonts w:cs="Times New Roman"/>
          <w:iCs/>
        </w:rPr>
      </w:pPr>
      <w:r w:rsidRPr="005D6196">
        <w:rPr>
          <w:rFonts w:cs="Times New Roman"/>
          <w:iCs/>
        </w:rPr>
        <w:t xml:space="preserve">Angle </w:t>
      </w:r>
      <w:r w:rsidRPr="005D6196">
        <w:rPr>
          <w:rFonts w:cs="Times New Roman"/>
          <w:i/>
          <w:iCs/>
        </w:rPr>
        <w:t xml:space="preserve">ABD </w:t>
      </w:r>
      <w:r w:rsidRPr="005D6196">
        <w:rPr>
          <w:rFonts w:cs="Times New Roman"/>
          <w:iCs/>
        </w:rPr>
        <w:t>= 40</w:t>
      </w:r>
      <w:r w:rsidRPr="005D6196">
        <w:rPr>
          <w:rFonts w:cs="Times New Roman"/>
          <w:iCs/>
          <w:vertAlign w:val="superscript"/>
        </w:rPr>
        <w:t>o</w:t>
      </w:r>
    </w:p>
    <w:p w:rsidR="00187223" w:rsidRPr="005D6196" w:rsidRDefault="00187223" w:rsidP="00CE2D37">
      <w:pPr>
        <w:jc w:val="right"/>
        <w:rPr>
          <w:rFonts w:cs="Times New Roman"/>
          <w:iCs/>
        </w:rPr>
      </w:pPr>
      <w:r w:rsidRPr="005D6196">
        <w:rPr>
          <w:rFonts w:cs="Times New Roman"/>
          <w:iCs/>
        </w:rPr>
        <w:t>Not drawn accurately</w:t>
      </w:r>
    </w:p>
    <w:p w:rsidR="00187223" w:rsidRPr="005D6196" w:rsidRDefault="00187223" w:rsidP="00CE2D37">
      <w:pPr>
        <w:jc w:val="center"/>
        <w:rPr>
          <w:rFonts w:cs="Times New Roman"/>
        </w:rPr>
      </w:pPr>
      <w:r w:rsidRPr="005D6196">
        <w:rPr>
          <w:rFonts w:cs="Times New Roman"/>
          <w:noProof/>
          <w:lang w:eastAsia="en-GB"/>
        </w:rPr>
        <w:drawing>
          <wp:inline distT="0" distB="0" distL="0" distR="0">
            <wp:extent cx="3710516" cy="2772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0868" cy="2773096"/>
                    </a:xfrm>
                    <a:prstGeom prst="rect">
                      <a:avLst/>
                    </a:prstGeom>
                    <a:noFill/>
                    <a:ln>
                      <a:noFill/>
                    </a:ln>
                  </pic:spPr>
                </pic:pic>
              </a:graphicData>
            </a:graphic>
          </wp:inline>
        </w:drawing>
      </w:r>
    </w:p>
    <w:p w:rsidR="00187223" w:rsidRPr="005D6196" w:rsidRDefault="00187223" w:rsidP="00CE2D37">
      <w:pPr>
        <w:rPr>
          <w:rFonts w:cs="Times New Roman"/>
        </w:rPr>
      </w:pPr>
    </w:p>
    <w:p w:rsidR="00187223" w:rsidRPr="005D6196" w:rsidRDefault="00187223" w:rsidP="00CE2D37">
      <w:pPr>
        <w:rPr>
          <w:rFonts w:cs="Times New Roman"/>
        </w:rPr>
      </w:pPr>
      <w:r w:rsidRPr="005D6196">
        <w:rPr>
          <w:rFonts w:cs="Times New Roman"/>
        </w:rPr>
        <w:t xml:space="preserve">Work out the size of angle </w:t>
      </w:r>
      <w:r w:rsidRPr="005D6196">
        <w:rPr>
          <w:rFonts w:cs="Times New Roman"/>
          <w:i/>
        </w:rPr>
        <w:t>AED</w:t>
      </w:r>
      <w:r w:rsidRPr="005D6196">
        <w:rPr>
          <w:rFonts w:cs="Times New Roman"/>
        </w:rPr>
        <w:t xml:space="preserve">, marked </w:t>
      </w:r>
      <w:r w:rsidRPr="005D6196">
        <w:rPr>
          <w:rFonts w:cs="Times New Roman"/>
          <w:i/>
        </w:rPr>
        <w:t>x</w:t>
      </w:r>
      <w:r w:rsidRPr="005D6196">
        <w:rPr>
          <w:rFonts w:cs="Times New Roman"/>
        </w:rPr>
        <w:t>, on the diagram.</w:t>
      </w:r>
    </w:p>
    <w:p w:rsidR="00187223" w:rsidRPr="005D6196" w:rsidRDefault="00187223" w:rsidP="00CE2D37">
      <w:pPr>
        <w:rPr>
          <w:rFonts w:cs="Times New Roman"/>
        </w:rPr>
      </w:pPr>
      <w:r w:rsidRPr="005D6196">
        <w:rPr>
          <w:rFonts w:cs="Times New Roman"/>
        </w:rPr>
        <w:t xml:space="preserve">You </w:t>
      </w:r>
      <w:r w:rsidRPr="005D6196">
        <w:rPr>
          <w:rFonts w:cs="Times New Roman"/>
          <w:b/>
        </w:rPr>
        <w:t>must</w:t>
      </w:r>
      <w:r w:rsidRPr="005D6196">
        <w:rPr>
          <w:rFonts w:cs="Times New Roman"/>
        </w:rPr>
        <w:t xml:space="preserve"> show your working.</w:t>
      </w:r>
    </w:p>
    <w:p w:rsidR="00187223" w:rsidRPr="005D6196" w:rsidRDefault="00187223" w:rsidP="0076559B">
      <w:pPr>
        <w:rPr>
          <w:rFonts w:cs="Times New Roman"/>
        </w:rPr>
      </w:pPr>
      <w:r w:rsidRPr="005D6196">
        <w:rPr>
          <w:rFonts w:cs="Times New Roman"/>
        </w:rPr>
        <w:t>Give reasons for any angles you work out.</w:t>
      </w:r>
    </w:p>
    <w:p w:rsidR="00187223" w:rsidRPr="005D6196" w:rsidRDefault="00187223" w:rsidP="0076559B">
      <w:pPr>
        <w:rPr>
          <w:rFonts w:cs="Times New Roman"/>
        </w:rPr>
      </w:pPr>
    </w:p>
    <w:p w:rsidR="00187223" w:rsidRPr="005D6196" w:rsidRDefault="00187223" w:rsidP="0076559B">
      <w:pPr>
        <w:rPr>
          <w:rFonts w:cs="Times New Roman"/>
          <w:i/>
        </w:rPr>
      </w:pPr>
    </w:p>
    <w:p w:rsidR="00187223" w:rsidRPr="005D6196" w:rsidRDefault="00187223" w:rsidP="007D3E22">
      <w:pPr>
        <w:keepNext/>
        <w:rPr>
          <w:rFonts w:cs="Times New Roman"/>
          <w:i/>
        </w:rPr>
      </w:pPr>
      <w:r w:rsidRPr="005D6196">
        <w:rPr>
          <w:rFonts w:cs="Times New Roman"/>
          <w:i/>
        </w:rPr>
        <w:t>Figure 10: Geometrical template: same segment theorem</w:t>
      </w:r>
    </w:p>
    <w:p w:rsidR="00187223" w:rsidRPr="005D6196" w:rsidRDefault="00187223" w:rsidP="007D3E22">
      <w:pPr>
        <w:keepNext/>
        <w:rPr>
          <w:rFonts w:cs="Times New Roman"/>
          <w:i/>
        </w:rPr>
      </w:pPr>
    </w:p>
    <w:p w:rsidR="00187223" w:rsidRPr="005D6196" w:rsidRDefault="00187223" w:rsidP="003D065C">
      <w:pPr>
        <w:keepNext/>
        <w:jc w:val="center"/>
        <w:rPr>
          <w:rFonts w:cs="Times New Roman"/>
          <w:i/>
        </w:rPr>
      </w:pPr>
      <w:r w:rsidRPr="005D6196">
        <w:rPr>
          <w:noProof/>
          <w:lang w:eastAsia="en-GB"/>
        </w:rPr>
        <w:drawing>
          <wp:inline distT="0" distB="0" distL="0" distR="0">
            <wp:extent cx="2296981" cy="2281767"/>
            <wp:effectExtent l="0" t="0" r="0" b="444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7936" cy="2282715"/>
                    </a:xfrm>
                    <a:prstGeom prst="rect">
                      <a:avLst/>
                    </a:prstGeom>
                    <a:noFill/>
                    <a:ln>
                      <a:noFill/>
                    </a:ln>
                  </pic:spPr>
                </pic:pic>
              </a:graphicData>
            </a:graphic>
          </wp:inline>
        </w:drawing>
      </w:r>
    </w:p>
    <w:p w:rsidR="00187223" w:rsidRPr="005D6196" w:rsidRDefault="00187223" w:rsidP="0076559B">
      <w:pPr>
        <w:rPr>
          <w:rFonts w:cs="Times New Roman"/>
        </w:rPr>
      </w:pPr>
    </w:p>
    <w:p w:rsidR="00187223" w:rsidRPr="005D6196" w:rsidRDefault="00187223" w:rsidP="006B2D2A">
      <w:pPr>
        <w:keepNext/>
        <w:rPr>
          <w:rFonts w:cs="Times New Roman"/>
        </w:rPr>
      </w:pPr>
    </w:p>
    <w:p w:rsidR="00187223" w:rsidRPr="005D6196" w:rsidRDefault="00187223" w:rsidP="006B2D2A">
      <w:pPr>
        <w:keepNext/>
        <w:jc w:val="center"/>
      </w:pPr>
    </w:p>
    <w:p w:rsidR="00187223" w:rsidRPr="005D6196" w:rsidRDefault="00187223" w:rsidP="006B2D2A">
      <w:pPr>
        <w:keepNext/>
        <w:rPr>
          <w:rFonts w:cs="Times New Roman"/>
          <w:i/>
        </w:rPr>
      </w:pPr>
    </w:p>
    <w:p w:rsidR="00187223" w:rsidRPr="005D6196" w:rsidRDefault="00187223" w:rsidP="006B2D2A">
      <w:pPr>
        <w:keepNext/>
        <w:rPr>
          <w:rFonts w:cs="Times New Roman"/>
          <w:i/>
        </w:rPr>
      </w:pPr>
    </w:p>
    <w:p w:rsidR="00187223" w:rsidRPr="005D6196" w:rsidRDefault="00187223" w:rsidP="006B2D2A">
      <w:pPr>
        <w:keepNext/>
        <w:rPr>
          <w:rFonts w:cs="Times New Roman"/>
          <w:i/>
        </w:rPr>
      </w:pPr>
      <w:r w:rsidRPr="005D6196">
        <w:rPr>
          <w:rFonts w:cs="Times New Roman"/>
          <w:i/>
        </w:rPr>
        <w:t>Figure 11: Geometrical template: alternate segment theorem</w:t>
      </w:r>
    </w:p>
    <w:p w:rsidR="00187223" w:rsidRPr="005D6196" w:rsidRDefault="00187223" w:rsidP="006B2D2A">
      <w:pPr>
        <w:keepNext/>
        <w:rPr>
          <w:rFonts w:cs="Times New Roman"/>
        </w:rPr>
      </w:pPr>
    </w:p>
    <w:p w:rsidR="00187223" w:rsidRPr="005D6196" w:rsidRDefault="00187223" w:rsidP="006B2D2A">
      <w:pPr>
        <w:keepNext/>
        <w:jc w:val="center"/>
        <w:rPr>
          <w:rFonts w:cs="Times New Roman"/>
        </w:rPr>
      </w:pPr>
      <w:r w:rsidRPr="005D6196">
        <w:rPr>
          <w:rFonts w:cs="Times New Roman"/>
          <w:noProof/>
          <w:lang w:eastAsia="en-GB"/>
        </w:rPr>
        <w:drawing>
          <wp:inline distT="0" distB="0" distL="0" distR="0">
            <wp:extent cx="3275019" cy="2332567"/>
            <wp:effectExtent l="0" t="0" r="1905" b="4445"/>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75718" cy="2333065"/>
                    </a:xfrm>
                    <a:prstGeom prst="rect">
                      <a:avLst/>
                    </a:prstGeom>
                    <a:noFill/>
                    <a:ln>
                      <a:noFill/>
                    </a:ln>
                  </pic:spPr>
                </pic:pic>
              </a:graphicData>
            </a:graphic>
          </wp:inline>
        </w:drawing>
      </w:r>
    </w:p>
    <w:p w:rsidR="00187223" w:rsidRPr="005D6196" w:rsidRDefault="00187223" w:rsidP="00CE2D37">
      <w:pPr>
        <w:rPr>
          <w:rFonts w:cs="Times New Roman"/>
        </w:rPr>
      </w:pPr>
    </w:p>
    <w:p w:rsidR="00187223" w:rsidRPr="005D6196" w:rsidRDefault="00187223" w:rsidP="006B2D2A">
      <w:pPr>
        <w:keepNext/>
        <w:rPr>
          <w:rFonts w:cs="Times New Roman"/>
          <w:i/>
        </w:rPr>
      </w:pPr>
      <w:r w:rsidRPr="005D6196">
        <w:rPr>
          <w:rFonts w:cs="Times New Roman"/>
          <w:i/>
        </w:rPr>
        <w:t>Figure 12: Geometrical template: internal angles of a triangle sum to 180</w:t>
      </w:r>
      <w:r w:rsidRPr="005D6196">
        <w:rPr>
          <w:rFonts w:cs="Times New Roman"/>
          <w:i/>
          <w:vertAlign w:val="superscript"/>
        </w:rPr>
        <w:t>o</w:t>
      </w:r>
    </w:p>
    <w:p w:rsidR="00187223" w:rsidRPr="005D6196" w:rsidRDefault="00187223" w:rsidP="006B2D2A">
      <w:pPr>
        <w:keepNext/>
        <w:rPr>
          <w:rFonts w:cs="Times New Roman"/>
        </w:rPr>
      </w:pPr>
    </w:p>
    <w:p w:rsidR="00187223" w:rsidRPr="005D6196" w:rsidRDefault="00187223" w:rsidP="006B2D2A">
      <w:pPr>
        <w:keepNext/>
        <w:jc w:val="center"/>
        <w:rPr>
          <w:rFonts w:cs="Times New Roman"/>
        </w:rPr>
      </w:pPr>
      <w:r w:rsidRPr="005D6196">
        <w:rPr>
          <w:rFonts w:cs="Times New Roman"/>
          <w:noProof/>
          <w:lang w:eastAsia="en-GB"/>
        </w:rPr>
        <w:drawing>
          <wp:inline distT="0" distB="0" distL="0" distR="0">
            <wp:extent cx="1962289" cy="203623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743" cy="2036704"/>
                    </a:xfrm>
                    <a:prstGeom prst="rect">
                      <a:avLst/>
                    </a:prstGeom>
                    <a:noFill/>
                    <a:ln>
                      <a:noFill/>
                    </a:ln>
                  </pic:spPr>
                </pic:pic>
              </a:graphicData>
            </a:graphic>
          </wp:inline>
        </w:drawing>
      </w:r>
    </w:p>
    <w:p w:rsidR="00187223" w:rsidRPr="005D6196" w:rsidRDefault="00187223" w:rsidP="00CE2D37">
      <w:pPr>
        <w:ind w:firstLine="567"/>
        <w:rPr>
          <w:rFonts w:cs="Times New Roman"/>
        </w:rPr>
      </w:pPr>
    </w:p>
    <w:p w:rsidR="006E3196" w:rsidRPr="005D6196" w:rsidRDefault="006E3196" w:rsidP="006E3196">
      <w:pPr>
        <w:ind w:firstLine="567"/>
        <w:rPr>
          <w:rFonts w:cs="Times New Roman"/>
        </w:rPr>
      </w:pPr>
      <w:r w:rsidRPr="005D6196">
        <w:rPr>
          <w:rFonts w:cs="Times New Roman"/>
        </w:rPr>
        <w:t xml:space="preserve">There are, of course, alternative </w:t>
      </w:r>
      <w:r w:rsidRPr="005D6196">
        <w:rPr>
          <w:rFonts w:cs="Times New Roman"/>
          <w:i/>
        </w:rPr>
        <w:t>esoteric domain</w:t>
      </w:r>
      <w:r w:rsidRPr="005D6196">
        <w:rPr>
          <w:rFonts w:cs="Times New Roman"/>
        </w:rPr>
        <w:t xml:space="preserve"> strategies that might be deployed in solving this problem. These include reliance on </w:t>
      </w:r>
      <w:r w:rsidRPr="005D6196">
        <w:rPr>
          <w:rFonts w:cs="Times New Roman"/>
          <w:i/>
        </w:rPr>
        <w:t>theorems</w:t>
      </w:r>
      <w:r w:rsidRPr="005D6196">
        <w:rPr>
          <w:rFonts w:cs="Times New Roman"/>
        </w:rPr>
        <w:t xml:space="preserve"> without visualising the </w:t>
      </w:r>
      <w:r w:rsidRPr="005D6196">
        <w:rPr>
          <w:rFonts w:cs="Times New Roman"/>
          <w:i/>
        </w:rPr>
        <w:t>templates</w:t>
      </w:r>
      <w:r w:rsidRPr="005D6196">
        <w:rPr>
          <w:rFonts w:cs="Times New Roman"/>
        </w:rPr>
        <w:t xml:space="preserve">. Also, alternative </w:t>
      </w:r>
      <w:r w:rsidRPr="005D6196">
        <w:rPr>
          <w:rFonts w:cs="Times New Roman"/>
          <w:i/>
        </w:rPr>
        <w:t>templates</w:t>
      </w:r>
      <w:r w:rsidRPr="005D6196">
        <w:rPr>
          <w:rFonts w:cs="Times New Roman"/>
        </w:rPr>
        <w:t xml:space="preserve"> might be selected, including, for example, the one in Figure 13, which might be deployed in proving or sidestepping the </w:t>
      </w:r>
      <w:r w:rsidRPr="005D6196">
        <w:rPr>
          <w:rFonts w:cs="Times New Roman"/>
          <w:i/>
        </w:rPr>
        <w:t>theorems</w:t>
      </w:r>
      <w:r w:rsidRPr="005D6196">
        <w:rPr>
          <w:rFonts w:cs="Times New Roman"/>
        </w:rPr>
        <w:t xml:space="preserve"> corresponding to Figures 10 and 11 or validating the </w:t>
      </w:r>
      <w:r w:rsidRPr="005D6196">
        <w:rPr>
          <w:rFonts w:cs="Times New Roman"/>
          <w:i/>
        </w:rPr>
        <w:t>templates</w:t>
      </w:r>
      <w:r w:rsidRPr="005D6196">
        <w:rPr>
          <w:rFonts w:cs="Times New Roman"/>
        </w:rPr>
        <w:t xml:space="preserve">, should these </w:t>
      </w:r>
      <w:r w:rsidRPr="005D6196">
        <w:rPr>
          <w:rFonts w:cs="Times New Roman"/>
          <w:i/>
        </w:rPr>
        <w:t>theorems/templates</w:t>
      </w:r>
      <w:r w:rsidRPr="005D6196">
        <w:rPr>
          <w:rFonts w:cs="Times New Roman"/>
        </w:rPr>
        <w:t xml:space="preserve"> not come clearly to mind. All of these </w:t>
      </w:r>
      <w:r w:rsidRPr="005D6196">
        <w:rPr>
          <w:rFonts w:cs="Times New Roman"/>
          <w:i/>
        </w:rPr>
        <w:t>templates</w:t>
      </w:r>
      <w:r w:rsidRPr="005D6196">
        <w:rPr>
          <w:rFonts w:cs="Times New Roman"/>
        </w:rPr>
        <w:t xml:space="preserve"> articulate more </w:t>
      </w:r>
      <w:r w:rsidRPr="005D6196">
        <w:rPr>
          <w:rFonts w:cs="Times New Roman"/>
          <w:i/>
        </w:rPr>
        <w:t>theorems</w:t>
      </w:r>
      <w:r w:rsidRPr="005D6196">
        <w:rPr>
          <w:rFonts w:cs="Times New Roman"/>
        </w:rPr>
        <w:t xml:space="preserve"> than are likely to be required in any given situation. Figure 13, for example, connotes (for me; doubtless, I’ve missed some) the following </w:t>
      </w:r>
      <w:r w:rsidRPr="005D6196">
        <w:rPr>
          <w:rFonts w:cs="Times New Roman"/>
          <w:i/>
        </w:rPr>
        <w:t>theorems</w:t>
      </w:r>
      <w:r w:rsidRPr="005D6196">
        <w:rPr>
          <w:rFonts w:cs="Times New Roman"/>
        </w:rPr>
        <w:t>:</w:t>
      </w:r>
    </w:p>
    <w:p w:rsidR="006E3196" w:rsidRPr="005D6196" w:rsidRDefault="006E3196" w:rsidP="006E3196">
      <w:pPr>
        <w:ind w:firstLine="567"/>
        <w:rPr>
          <w:rFonts w:cs="Times New Roman"/>
        </w:rPr>
      </w:pPr>
    </w:p>
    <w:p w:rsidR="006E3196" w:rsidRPr="005D6196" w:rsidRDefault="006E3196" w:rsidP="006E3196">
      <w:pPr>
        <w:pStyle w:val="ListParagraph"/>
        <w:keepNext/>
        <w:numPr>
          <w:ilvl w:val="0"/>
          <w:numId w:val="3"/>
        </w:numPr>
        <w:spacing w:after="240"/>
      </w:pPr>
      <w:r w:rsidRPr="005D6196">
        <w:t>A circle is the set of points that are equidistant from a fixed point that is its centre;</w:t>
      </w:r>
    </w:p>
    <w:p w:rsidR="006E3196" w:rsidRPr="005D6196" w:rsidRDefault="006E3196" w:rsidP="006E3196">
      <w:pPr>
        <w:pStyle w:val="ListParagraph"/>
        <w:numPr>
          <w:ilvl w:val="0"/>
          <w:numId w:val="3"/>
        </w:numPr>
        <w:spacing w:after="240"/>
      </w:pPr>
      <w:r w:rsidRPr="005D6196">
        <w:t>There are two tangents to a circle from any point outside the circle;</w:t>
      </w:r>
    </w:p>
    <w:p w:rsidR="006E3196" w:rsidRPr="005D6196" w:rsidRDefault="006E3196" w:rsidP="006E3196">
      <w:pPr>
        <w:pStyle w:val="ListParagraph"/>
        <w:numPr>
          <w:ilvl w:val="0"/>
          <w:numId w:val="3"/>
        </w:numPr>
        <w:spacing w:after="240"/>
      </w:pPr>
      <w:r w:rsidRPr="005D6196">
        <w:t>These tangents are of equal length;</w:t>
      </w:r>
    </w:p>
    <w:p w:rsidR="006E3196" w:rsidRPr="005D6196" w:rsidRDefault="006E3196" w:rsidP="006E3196">
      <w:pPr>
        <w:pStyle w:val="ListParagraph"/>
        <w:numPr>
          <w:ilvl w:val="0"/>
          <w:numId w:val="3"/>
        </w:numPr>
        <w:ind w:left="1281" w:hanging="357"/>
      </w:pPr>
      <w:r w:rsidRPr="005D6196">
        <w:t>The tangents are perpendicular to the radius of the circle at the point at which they touch the circle;</w:t>
      </w:r>
    </w:p>
    <w:p w:rsidR="006E3196" w:rsidRPr="005D6196" w:rsidRDefault="006E3196" w:rsidP="006E3196">
      <w:pPr>
        <w:pStyle w:val="ListParagraph"/>
        <w:numPr>
          <w:ilvl w:val="0"/>
          <w:numId w:val="3"/>
        </w:numPr>
        <w:ind w:left="1281" w:hanging="357"/>
      </w:pPr>
      <w:r w:rsidRPr="005D6196">
        <w:lastRenderedPageBreak/>
        <w:t>The two tangents to a circle from a point outside of the circle, the line joining this point with the centre of the circle, and the radii of the circle at the points at which the tangents touch the circle form two congruent, right-angled triangles;</w:t>
      </w:r>
    </w:p>
    <w:p w:rsidR="006E3196" w:rsidRPr="005D6196" w:rsidRDefault="006E3196" w:rsidP="006E3196">
      <w:pPr>
        <w:keepNext/>
        <w:ind w:left="927"/>
      </w:pPr>
    </w:p>
    <w:p w:rsidR="006E3196" w:rsidRPr="005D6196" w:rsidRDefault="006E3196" w:rsidP="006E3196">
      <w:proofErr w:type="gramStart"/>
      <w:r w:rsidRPr="005D6196">
        <w:t>and</w:t>
      </w:r>
      <w:proofErr w:type="gramEnd"/>
      <w:r w:rsidRPr="005D6196">
        <w:t xml:space="preserve"> also the following </w:t>
      </w:r>
      <w:r w:rsidRPr="005D6196">
        <w:rPr>
          <w:i/>
        </w:rPr>
        <w:t>operational matrix</w:t>
      </w:r>
      <w:r w:rsidRPr="005D6196">
        <w:t>:</w:t>
      </w:r>
    </w:p>
    <w:p w:rsidR="006E3196" w:rsidRPr="005D6196" w:rsidRDefault="006E3196" w:rsidP="006E3196"/>
    <w:p w:rsidR="006E3196" w:rsidRPr="005D6196" w:rsidRDefault="006E3196" w:rsidP="006E3196">
      <w:pPr>
        <w:pStyle w:val="ListParagraph"/>
        <w:numPr>
          <w:ilvl w:val="0"/>
          <w:numId w:val="3"/>
        </w:numPr>
      </w:pPr>
      <w:r w:rsidRPr="005D6196">
        <w:t>Circles and line segments may be constructed by straight edge and compasses (or using draw software on a computer).</w:t>
      </w:r>
    </w:p>
    <w:p w:rsidR="00187223" w:rsidRPr="005D6196" w:rsidRDefault="00187223" w:rsidP="00CE2D37">
      <w:pPr>
        <w:ind w:firstLine="567"/>
        <w:rPr>
          <w:rFonts w:cs="Times New Roman"/>
        </w:rPr>
      </w:pPr>
    </w:p>
    <w:p w:rsidR="00E81F81" w:rsidRPr="005D6196" w:rsidRDefault="00E81F81" w:rsidP="00E81F81">
      <w:pPr>
        <w:keepNext/>
        <w:rPr>
          <w:i/>
        </w:rPr>
      </w:pPr>
      <w:r w:rsidRPr="005D6196">
        <w:rPr>
          <w:i/>
        </w:rPr>
        <w:t>Figure 13: Geometrical template: two tangents from a point to a circle</w:t>
      </w:r>
    </w:p>
    <w:p w:rsidR="00E81F81" w:rsidRPr="005D6196" w:rsidRDefault="00E81F81" w:rsidP="00E81F81">
      <w:pPr>
        <w:keepNext/>
        <w:rPr>
          <w:i/>
        </w:rPr>
      </w:pPr>
    </w:p>
    <w:p w:rsidR="00E81F81" w:rsidRPr="005D6196" w:rsidRDefault="00E81F81" w:rsidP="00E81F81">
      <w:pPr>
        <w:keepNext/>
        <w:jc w:val="center"/>
      </w:pPr>
      <w:r w:rsidRPr="005D6196">
        <w:rPr>
          <w:noProof/>
          <w:lang w:eastAsia="en-GB"/>
        </w:rPr>
        <w:drawing>
          <wp:inline distT="0" distB="0" distL="0" distR="0">
            <wp:extent cx="4455795" cy="2736843"/>
            <wp:effectExtent l="0" t="0" r="0"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56424" cy="2737229"/>
                    </a:xfrm>
                    <a:prstGeom prst="rect">
                      <a:avLst/>
                    </a:prstGeom>
                    <a:noFill/>
                    <a:ln>
                      <a:noFill/>
                    </a:ln>
                  </pic:spPr>
                </pic:pic>
              </a:graphicData>
            </a:graphic>
          </wp:inline>
        </w:drawing>
      </w:r>
    </w:p>
    <w:p w:rsidR="00E81F81" w:rsidRPr="005D6196" w:rsidRDefault="00E81F81" w:rsidP="00CE2D37">
      <w:pPr>
        <w:ind w:firstLine="567"/>
        <w:rPr>
          <w:rFonts w:cs="Times New Roman"/>
        </w:rPr>
      </w:pPr>
    </w:p>
    <w:p w:rsidR="00187223" w:rsidRPr="005D6196" w:rsidRDefault="00187223" w:rsidP="00D374ED">
      <w:pPr>
        <w:keepNext/>
        <w:ind w:left="927"/>
      </w:pPr>
    </w:p>
    <w:p w:rsidR="00D374ED" w:rsidRPr="005D6196" w:rsidRDefault="00187223" w:rsidP="00A84A37">
      <w:pPr>
        <w:ind w:firstLine="567"/>
      </w:pPr>
      <w:r w:rsidRPr="005D6196">
        <w:t xml:space="preserve">So what is the point of this expansion of language relating to the </w:t>
      </w:r>
      <w:r w:rsidRPr="005D6196">
        <w:rPr>
          <w:i/>
        </w:rPr>
        <w:t>esoteric domain</w:t>
      </w:r>
      <w:r w:rsidRPr="005D6196">
        <w:t xml:space="preserve"> of school mathematics; what is its use-value? Earlier, I cited Duval’s construction of mathematical knowledge as comprising mathematical objects that are represented or mediated by a range of different semiotic systems. The object-oriented approach requires the learner to acquire the objects through engagement with their representations in the various systems and this acquisition might be referred to as </w:t>
      </w:r>
      <w:r w:rsidRPr="005D6196">
        <w:rPr>
          <w:i/>
        </w:rPr>
        <w:t>understanding</w:t>
      </w:r>
      <w:r w:rsidRPr="005D6196">
        <w:t xml:space="preserve">; Duval identifies some of the difficulties that this entails for the learner. SAM’s approach, by contrast, denies the value of positing objects that are outside of semiosis. Rather than attempt the transmission of such mythical entities, SAM emphasises the assemblage of </w:t>
      </w:r>
      <w:r w:rsidRPr="005D6196">
        <w:rPr>
          <w:i/>
        </w:rPr>
        <w:t>esoteric domain</w:t>
      </w:r>
      <w:r w:rsidRPr="005D6196">
        <w:t xml:space="preserve"> strategies that are available for recruitment in mathematical activity. This bears some similarity with Polya’s (1946) listing of </w:t>
      </w:r>
      <w:r w:rsidRPr="005D6196">
        <w:rPr>
          <w:i/>
        </w:rPr>
        <w:t>heuristics</w:t>
      </w:r>
      <w:r w:rsidRPr="005D6196">
        <w:t xml:space="preserve">, which, in my scheme, are classified as </w:t>
      </w:r>
      <w:r w:rsidRPr="005D6196">
        <w:rPr>
          <w:i/>
        </w:rPr>
        <w:t>procedures</w:t>
      </w:r>
      <w:r w:rsidRPr="005D6196">
        <w:t xml:space="preserve">. It would, of course, be possible to articulate these procedures and, indeed, the </w:t>
      </w:r>
      <w:r w:rsidRPr="005D6196">
        <w:rPr>
          <w:i/>
        </w:rPr>
        <w:t>theorems</w:t>
      </w:r>
      <w:r w:rsidRPr="005D6196">
        <w:t xml:space="preserve">, </w:t>
      </w:r>
      <w:r w:rsidRPr="005D6196">
        <w:rPr>
          <w:i/>
        </w:rPr>
        <w:t>templates</w:t>
      </w:r>
      <w:r w:rsidRPr="005D6196">
        <w:t xml:space="preserve">, and </w:t>
      </w:r>
      <w:r w:rsidRPr="005D6196">
        <w:rPr>
          <w:i/>
        </w:rPr>
        <w:t>operational matrices</w:t>
      </w:r>
      <w:r w:rsidRPr="005D6196">
        <w:t xml:space="preserve"> into some kind of more or less coherent discourse, although this would involve the </w:t>
      </w:r>
      <w:r w:rsidRPr="005D6196">
        <w:rPr>
          <w:i/>
        </w:rPr>
        <w:t>rationalising</w:t>
      </w:r>
      <w:r w:rsidRPr="005D6196">
        <w:t xml:space="preserve"> of </w:t>
      </w:r>
      <w:r w:rsidRPr="005D6196">
        <w:rPr>
          <w:i/>
        </w:rPr>
        <w:t xml:space="preserve">templates </w:t>
      </w:r>
      <w:r w:rsidRPr="005D6196">
        <w:t xml:space="preserve">and </w:t>
      </w:r>
      <w:r w:rsidRPr="005D6196">
        <w:rPr>
          <w:i/>
        </w:rPr>
        <w:t>operational matrices</w:t>
      </w:r>
      <w:r w:rsidR="00A84A37" w:rsidRPr="005D6196">
        <w:t>. Even if this</w:t>
      </w:r>
      <w:r w:rsidRPr="005D6196">
        <w:t xml:space="preserve"> were</w:t>
      </w:r>
      <w:r w:rsidR="00A84A37" w:rsidRPr="005D6196">
        <w:t xml:space="preserve"> to be achieved, however, the</w:t>
      </w:r>
      <w:r w:rsidRPr="005D6196">
        <w:t xml:space="preserve"> acquisition </w:t>
      </w:r>
      <w:r w:rsidR="00A84A37" w:rsidRPr="005D6196">
        <w:t xml:space="preserve">of the discourse </w:t>
      </w:r>
      <w:r w:rsidRPr="005D6196">
        <w:t>would have to be achieved in a single move, rather like Foucault’s all-in-one-go vision of formalised mathemat</w:t>
      </w:r>
      <w:r w:rsidR="00A84A37" w:rsidRPr="005D6196">
        <w:t xml:space="preserve">ics. Since this is not possible (in the high school, anyway), </w:t>
      </w:r>
      <w:r w:rsidRPr="005D6196">
        <w:t xml:space="preserve">understanding—the meanings that can be provided only within the system as a whole—must be perpetually deferred. We know, in fact, that this is the case: how is it that elementary </w:t>
      </w:r>
      <w:r w:rsidRPr="005D6196">
        <w:lastRenderedPageBreak/>
        <w:t xml:space="preserve">school </w:t>
      </w:r>
      <w:proofErr w:type="gramStart"/>
      <w:r w:rsidRPr="005D6196">
        <w:t>students</w:t>
      </w:r>
      <w:proofErr w:type="gramEnd"/>
      <w:r w:rsidRPr="005D6196">
        <w:t xml:space="preserve"> can possibly be said to ‘understand’ the natural numbers without a grasp of the Peano axioms (probably unfamiliar even to their teachers)? What the scheme in Figure 8 offers is the basis for a curriculum of strategic, mathematical resources. In the presentation of such a curriculum, understandings will come and will go and will change with the partial totalities that are acquired along the way</w:t>
      </w:r>
      <w:r w:rsidR="00705656" w:rsidRPr="005D6196">
        <w:t xml:space="preserve"> and will always of necessity be localised to the individual at a particular point in their mathematical education</w:t>
      </w:r>
      <w:r w:rsidRPr="005D6196">
        <w:t>. Many of these understandings will be DS</w:t>
      </w:r>
      <w:r w:rsidRPr="005D6196">
        <w:rPr>
          <w:vertAlign w:val="superscript"/>
        </w:rPr>
        <w:t>-</w:t>
      </w:r>
      <w:r w:rsidRPr="005D6196">
        <w:t>.</w:t>
      </w:r>
      <w:r w:rsidRPr="005D6196">
        <w:rPr>
          <w:rStyle w:val="FootnoteReference"/>
        </w:rPr>
        <w:footnoteReference w:id="19"/>
      </w:r>
      <w:r w:rsidRPr="005D6196">
        <w:t xml:space="preserve"> </w:t>
      </w:r>
      <w:r w:rsidR="00541180" w:rsidRPr="005D6196">
        <w:t>This may be a shock to those who, like Foucault, see mathematics as necessarily already fully formalised, but perhaps this is a necessary shock. SAM’s approach also, incidentally, strikes at the heart of Bernstein’s totalising.</w:t>
      </w:r>
    </w:p>
    <w:p w:rsidR="006B2D2A" w:rsidRPr="005D6196" w:rsidRDefault="006B2D2A" w:rsidP="003E3350">
      <w:pPr>
        <w:ind w:firstLine="567"/>
      </w:pPr>
    </w:p>
    <w:p w:rsidR="006B2D2A" w:rsidRPr="005D6196" w:rsidRDefault="006B2D2A" w:rsidP="003E3350">
      <w:pPr>
        <w:ind w:firstLine="567"/>
      </w:pPr>
      <w:r w:rsidRPr="005D6196">
        <w:rPr>
          <w:i/>
          <w:sz w:val="28"/>
          <w:szCs w:val="28"/>
        </w:rPr>
        <w:t>Conclusion</w:t>
      </w:r>
    </w:p>
    <w:p w:rsidR="006B2D2A" w:rsidRPr="005D6196" w:rsidRDefault="006B2D2A" w:rsidP="003E3350">
      <w:pPr>
        <w:ind w:firstLine="567"/>
      </w:pPr>
    </w:p>
    <w:p w:rsidR="006B2D2A" w:rsidRPr="005D6196" w:rsidRDefault="008705EA" w:rsidP="006B2D2A">
      <w:r w:rsidRPr="005D6196">
        <w:t xml:space="preserve">In this paper I have, firstly, offered an alternative to what I am referring to as </w:t>
      </w:r>
      <w:r w:rsidRPr="005D6196">
        <w:rPr>
          <w:i/>
        </w:rPr>
        <w:t>forensics</w:t>
      </w:r>
      <w:r w:rsidRPr="005D6196">
        <w:t>. The latter presents its objects as lying, somehow, beyond its own artifice, beyond semiosis. In astrophysics</w:t>
      </w:r>
      <w:r w:rsidR="00705656" w:rsidRPr="005D6196">
        <w:t>,</w:t>
      </w:r>
      <w:r w:rsidRPr="005D6196">
        <w:t xml:space="preserve"> the introduction of forensics—we are finding more and more about the universe, which is real and which was around before us and will be around after we’re gone—may </w:t>
      </w:r>
      <w:r w:rsidR="00606650" w:rsidRPr="005D6196">
        <w:t xml:space="preserve">settle those who live in the world of quotidian commonsense and perhaps ease the way for </w:t>
      </w:r>
      <w:r w:rsidR="005E08C9" w:rsidRPr="005D6196">
        <w:t xml:space="preserve">funding </w:t>
      </w:r>
      <w:r w:rsidR="00606650" w:rsidRPr="005D6196">
        <w:t>application</w:t>
      </w:r>
      <w:r w:rsidR="005E08C9" w:rsidRPr="005D6196">
        <w:t>s</w:t>
      </w:r>
      <w:r w:rsidR="00606650" w:rsidRPr="005D6196">
        <w:t xml:space="preserve"> for very big science, but it won’t necessarily have much of an impact on the day-to-da</w:t>
      </w:r>
      <w:r w:rsidR="00EF4490" w:rsidRPr="005D6196">
        <w:t>y working of jobbing astrophysic</w:t>
      </w:r>
      <w:r w:rsidR="00606650" w:rsidRPr="005D6196">
        <w:t xml:space="preserve">ists. In school mathematics, by contrast, forensics seduces, but then confuses and ultimately betrays with the promise of mythical objects to be acquired but, like the carrot </w:t>
      </w:r>
      <w:r w:rsidR="00A432EB" w:rsidRPr="005D6196">
        <w:t>dangling from</w:t>
      </w:r>
      <w:r w:rsidR="00606650" w:rsidRPr="005D6196">
        <w:t xml:space="preserve"> the donkey’s stick or </w:t>
      </w:r>
      <w:r w:rsidR="002E2E6E" w:rsidRPr="005D6196">
        <w:t xml:space="preserve">like </w:t>
      </w:r>
      <w:r w:rsidR="00606650" w:rsidRPr="005D6196">
        <w:t>the greyhound’s hare, must always be</w:t>
      </w:r>
      <w:r w:rsidR="00045415" w:rsidRPr="005D6196">
        <w:t xml:space="preserve"> just</w:t>
      </w:r>
      <w:r w:rsidR="00606650" w:rsidRPr="005D6196">
        <w:t xml:space="preserve"> out of reach</w:t>
      </w:r>
      <w:r w:rsidR="00045415" w:rsidRPr="005D6196">
        <w:t>—Tantalus in the classroom</w:t>
      </w:r>
      <w:r w:rsidR="00606650" w:rsidRPr="005D6196">
        <w:t>.</w:t>
      </w:r>
      <w:r w:rsidR="00A432EB" w:rsidRPr="005D6196">
        <w:t xml:space="preserve"> Constructionism, i</w:t>
      </w:r>
      <w:r w:rsidR="00045415" w:rsidRPr="005D6196">
        <w:t>n one form or</w:t>
      </w:r>
      <w:r w:rsidR="007C4E62" w:rsidRPr="005D6196">
        <w:t xml:space="preserve"> another, is not new, of course, indeed it’s </w:t>
      </w:r>
      <w:r w:rsidR="00B7520D" w:rsidRPr="005D6196">
        <w:t xml:space="preserve">exactly </w:t>
      </w:r>
      <w:r w:rsidR="007C4E62" w:rsidRPr="005D6196">
        <w:t>as old as its positivist other</w:t>
      </w:r>
      <w:r w:rsidR="00B7520D" w:rsidRPr="005D6196">
        <w:t>, the two dancing their perpetual tango, penetrating each other’s spaces, but never touching</w:t>
      </w:r>
      <w:r w:rsidR="005A3CEE" w:rsidRPr="005D6196">
        <w:t xml:space="preserve"> except, tellingly, by holding hands.</w:t>
      </w:r>
      <w:r w:rsidR="00A432EB" w:rsidRPr="005D6196">
        <w:t xml:space="preserve"> The dance is, of course, </w:t>
      </w:r>
      <w:r w:rsidR="006D5766" w:rsidRPr="005D6196">
        <w:t>infertile</w:t>
      </w:r>
      <w:r w:rsidR="00A432EB" w:rsidRPr="005D6196">
        <w:t xml:space="preserve">. </w:t>
      </w:r>
      <w:r w:rsidR="00496C71" w:rsidRPr="005D6196">
        <w:t>So I will rely on pragmatic principles to determine the value of the approach that I present</w:t>
      </w:r>
      <w:r w:rsidR="00E05C5F" w:rsidRPr="005D6196">
        <w:t>—</w:t>
      </w:r>
      <w:r w:rsidR="006839C4" w:rsidRPr="005D6196">
        <w:t xml:space="preserve">the </w:t>
      </w:r>
      <w:r w:rsidR="006839C4" w:rsidRPr="005D6196">
        <w:rPr>
          <w:i/>
        </w:rPr>
        <w:t>organisational language</w:t>
      </w:r>
      <w:r w:rsidR="006839C4" w:rsidRPr="005D6196">
        <w:t xml:space="preserve">, </w:t>
      </w:r>
      <w:r w:rsidR="00E05C5F" w:rsidRPr="005D6196">
        <w:t>SAM</w:t>
      </w:r>
      <w:r w:rsidR="00496C71" w:rsidRPr="005D6196">
        <w:t>.</w:t>
      </w:r>
    </w:p>
    <w:p w:rsidR="00496C71" w:rsidRPr="005D6196" w:rsidRDefault="008143B4" w:rsidP="00496C71">
      <w:pPr>
        <w:ind w:firstLine="567"/>
      </w:pPr>
      <w:r w:rsidRPr="005D6196">
        <w:t xml:space="preserve">I have presented a number of SAM constructs in this paper. The </w:t>
      </w:r>
      <w:r w:rsidRPr="005D6196">
        <w:rPr>
          <w:i/>
        </w:rPr>
        <w:t>grammatical modes</w:t>
      </w:r>
      <w:r w:rsidRPr="005D6196">
        <w:t xml:space="preserve"> scheme distinguishes between strategies that exhibit high and low </w:t>
      </w:r>
      <w:r w:rsidRPr="005D6196">
        <w:rPr>
          <w:i/>
        </w:rPr>
        <w:t>discursive saturation</w:t>
      </w:r>
      <w:r w:rsidRPr="005D6196">
        <w:t xml:space="preserve"> in respect of the </w:t>
      </w:r>
      <w:r w:rsidRPr="005D6196">
        <w:rPr>
          <w:i/>
        </w:rPr>
        <w:t>internal</w:t>
      </w:r>
      <w:r w:rsidRPr="005D6196">
        <w:t xml:space="preserve"> and </w:t>
      </w:r>
      <w:r w:rsidRPr="005D6196">
        <w:rPr>
          <w:i/>
        </w:rPr>
        <w:t>external</w:t>
      </w:r>
      <w:r w:rsidRPr="005D6196">
        <w:t xml:space="preserve"> languages of an activity. This scheme, together with the </w:t>
      </w:r>
      <w:r w:rsidRPr="005D6196">
        <w:rPr>
          <w:i/>
        </w:rPr>
        <w:t>domains of action</w:t>
      </w:r>
      <w:r w:rsidRPr="005D6196">
        <w:t xml:space="preserve"> scheme, enables me to describe school mathematics as an assemblage comprising a self-referential</w:t>
      </w:r>
      <w:r w:rsidR="0052460F" w:rsidRPr="005D6196">
        <w:t>,</w:t>
      </w:r>
      <w:r w:rsidRPr="005D6196">
        <w:t xml:space="preserve"> mathematical</w:t>
      </w:r>
      <w:r w:rsidR="0052460F" w:rsidRPr="005D6196">
        <w:t>,</w:t>
      </w:r>
      <w:r w:rsidRPr="005D6196">
        <w:t xml:space="preserve"> </w:t>
      </w:r>
      <w:r w:rsidRPr="005D6196">
        <w:rPr>
          <w:i/>
        </w:rPr>
        <w:t>esoteric domain</w:t>
      </w:r>
      <w:r w:rsidRPr="005D6196">
        <w:t xml:space="preserve"> as </w:t>
      </w:r>
      <w:r w:rsidR="006839C4" w:rsidRPr="005D6196">
        <w:t xml:space="preserve">a </w:t>
      </w:r>
      <w:r w:rsidR="006839C4" w:rsidRPr="005D6196">
        <w:rPr>
          <w:i/>
        </w:rPr>
        <w:t>metaphoric apparatus</w:t>
      </w:r>
      <w:r w:rsidR="006839C4" w:rsidRPr="005D6196">
        <w:t>, and pedagogic theory that may vary in terms of DS</w:t>
      </w:r>
      <w:r w:rsidR="006839C4" w:rsidRPr="005D6196">
        <w:rPr>
          <w:vertAlign w:val="superscript"/>
        </w:rPr>
        <w:t>+/-</w:t>
      </w:r>
      <w:r w:rsidR="006839C4" w:rsidRPr="005D6196">
        <w:t xml:space="preserve"> and that facilitates the </w:t>
      </w:r>
      <w:r w:rsidR="006839C4" w:rsidRPr="005D6196">
        <w:rPr>
          <w:i/>
        </w:rPr>
        <w:t>gaze</w:t>
      </w:r>
      <w:r w:rsidR="006839C4" w:rsidRPr="005D6196">
        <w:t xml:space="preserve"> that constitutes the other </w:t>
      </w:r>
      <w:r w:rsidR="006839C4" w:rsidRPr="005D6196">
        <w:rPr>
          <w:i/>
        </w:rPr>
        <w:t>domains of action</w:t>
      </w:r>
      <w:r w:rsidR="006839C4" w:rsidRPr="005D6196">
        <w:t>.</w:t>
      </w:r>
      <w:r w:rsidR="007D25A5" w:rsidRPr="005D6196">
        <w:t xml:space="preserve"> This scheme together with the </w:t>
      </w:r>
      <w:r w:rsidR="007D25A5" w:rsidRPr="005D6196">
        <w:rPr>
          <w:i/>
        </w:rPr>
        <w:t>modes of recontextualisation</w:t>
      </w:r>
      <w:r w:rsidR="007D25A5" w:rsidRPr="005D6196">
        <w:t xml:space="preserve"> scheme organise</w:t>
      </w:r>
      <w:r w:rsidR="006D5766" w:rsidRPr="005D6196">
        <w:t>s</w:t>
      </w:r>
      <w:r w:rsidR="007D25A5" w:rsidRPr="005D6196">
        <w:t xml:space="preserve"> the fundamental action of </w:t>
      </w:r>
      <w:r w:rsidR="007D25A5" w:rsidRPr="005D6196">
        <w:rPr>
          <w:i/>
        </w:rPr>
        <w:t>recontextualisation</w:t>
      </w:r>
      <w:r w:rsidR="007D25A5" w:rsidRPr="005D6196">
        <w:t xml:space="preserve"> that is the inevitable outcome wh</w:t>
      </w:r>
      <w:r w:rsidR="00EE100F" w:rsidRPr="005D6196">
        <w:t>en one activity regards another, the positivity of an activity being the visible regularity of social relations and cultural practices—in terms of alliances and oppositions—that is emergent upon the totality of strategic, autopoietic action that constitutes the sociocultural and that SAM endeavours to describe.</w:t>
      </w:r>
      <w:r w:rsidR="0052460F" w:rsidRPr="005D6196">
        <w:t xml:space="preserve"> Quite apart from its other virtues, constructing the world in this way reveals and describes the mendacious nature of any attempt to totalise or essentialise activity or knowledge such as mathematics.</w:t>
      </w:r>
    </w:p>
    <w:p w:rsidR="00BB4A3E" w:rsidRPr="005D6196" w:rsidRDefault="004D221B" w:rsidP="00BB4A3E">
      <w:pPr>
        <w:ind w:firstLine="567"/>
      </w:pPr>
      <w:r w:rsidRPr="005D6196">
        <w:t xml:space="preserve">I have attempted to illustrate the pragmatic value of SAM by </w:t>
      </w:r>
      <w:r w:rsidR="005E08C9" w:rsidRPr="005D6196">
        <w:t>illustrating</w:t>
      </w:r>
      <w:r w:rsidRPr="005D6196">
        <w:t xml:space="preserve"> the way in which we might productively think about autodidactic pedagogy</w:t>
      </w:r>
      <w:r w:rsidR="00552971" w:rsidRPr="005D6196">
        <w:t xml:space="preserve"> and about the action of research activity (for example, in anthropology) as </w:t>
      </w:r>
      <w:r w:rsidR="00705656" w:rsidRPr="005D6196">
        <w:t xml:space="preserve">initially </w:t>
      </w:r>
      <w:r w:rsidR="00552971" w:rsidRPr="005D6196">
        <w:t xml:space="preserve">autodidactic and </w:t>
      </w:r>
      <w:r w:rsidR="00552971" w:rsidRPr="005D6196">
        <w:lastRenderedPageBreak/>
        <w:t xml:space="preserve">subsequently constituting its own gaze. This formulation may be of value in thinking about and constructing curricula in research activities. The </w:t>
      </w:r>
      <w:r w:rsidR="00552971" w:rsidRPr="005D6196">
        <w:rPr>
          <w:i/>
        </w:rPr>
        <w:t>modes of recontextualisation</w:t>
      </w:r>
      <w:r w:rsidR="00552971" w:rsidRPr="005D6196">
        <w:t xml:space="preserve"> scheme provides some indication of the specific impact of </w:t>
      </w:r>
      <w:r w:rsidR="00BB4A3E" w:rsidRPr="005D6196">
        <w:t>the recontextualisating action of DS</w:t>
      </w:r>
      <w:r w:rsidR="00BB4A3E" w:rsidRPr="005D6196">
        <w:rPr>
          <w:vertAlign w:val="superscript"/>
        </w:rPr>
        <w:t>+</w:t>
      </w:r>
      <w:r w:rsidR="00BB4A3E" w:rsidRPr="005D6196">
        <w:t xml:space="preserve"> and DS</w:t>
      </w:r>
      <w:r w:rsidR="00BB4A3E" w:rsidRPr="005D6196">
        <w:rPr>
          <w:vertAlign w:val="superscript"/>
        </w:rPr>
        <w:t>-</w:t>
      </w:r>
      <w:r w:rsidR="00BB4A3E" w:rsidRPr="005D6196">
        <w:t xml:space="preserve"> strategies deployed on DS</w:t>
      </w:r>
      <w:r w:rsidR="00BB4A3E" w:rsidRPr="005D6196">
        <w:rPr>
          <w:vertAlign w:val="superscript"/>
        </w:rPr>
        <w:t>+</w:t>
      </w:r>
      <w:r w:rsidR="00BB4A3E" w:rsidRPr="005D6196">
        <w:t xml:space="preserve"> and DS</w:t>
      </w:r>
      <w:r w:rsidR="00BB4A3E" w:rsidRPr="005D6196">
        <w:rPr>
          <w:vertAlign w:val="superscript"/>
        </w:rPr>
        <w:t>-</w:t>
      </w:r>
      <w:r w:rsidR="00BB4A3E" w:rsidRPr="005D6196">
        <w:t xml:space="preserve"> practice and this, in particular, describes the </w:t>
      </w:r>
      <w:r w:rsidR="00BB4A3E" w:rsidRPr="005D6196">
        <w:rPr>
          <w:i/>
        </w:rPr>
        <w:t>rationalising</w:t>
      </w:r>
      <w:r w:rsidR="00BB4A3E" w:rsidRPr="005D6196">
        <w:t xml:space="preserve"> action of formalisation on non-discursive mathematical </w:t>
      </w:r>
      <w:r w:rsidR="00BB4A3E" w:rsidRPr="005D6196">
        <w:rPr>
          <w:i/>
        </w:rPr>
        <w:t xml:space="preserve">templates </w:t>
      </w:r>
      <w:r w:rsidR="00BB4A3E" w:rsidRPr="005D6196">
        <w:t xml:space="preserve">and </w:t>
      </w:r>
      <w:r w:rsidR="00BB4A3E" w:rsidRPr="005D6196">
        <w:rPr>
          <w:i/>
        </w:rPr>
        <w:t>operational matrices</w:t>
      </w:r>
      <w:r w:rsidR="00BB4A3E" w:rsidRPr="005D6196">
        <w:t xml:space="preserve">. The deployment of the </w:t>
      </w:r>
      <w:r w:rsidR="00BB4A3E" w:rsidRPr="005D6196">
        <w:rPr>
          <w:i/>
        </w:rPr>
        <w:t>domains of action</w:t>
      </w:r>
      <w:r w:rsidR="00BB4A3E" w:rsidRPr="005D6196">
        <w:t xml:space="preserve"> scheme reveals as ideological the UK National Curriculum claim that mathematics is primarily about something other than itself by revealing (through an analysis of GCSE paper</w:t>
      </w:r>
      <w:r w:rsidR="002E2E6E" w:rsidRPr="005D6196">
        <w:t>s</w:t>
      </w:r>
      <w:r w:rsidR="00BB4A3E" w:rsidRPr="005D6196">
        <w:t xml:space="preserve">) both that summative assessment at 16+ is overwhelmingly concerned with </w:t>
      </w:r>
      <w:r w:rsidR="00BB4A3E" w:rsidRPr="005D6196">
        <w:rPr>
          <w:i/>
        </w:rPr>
        <w:t>esoteric domain</w:t>
      </w:r>
      <w:r w:rsidR="00BB4A3E" w:rsidRPr="005D6196">
        <w:t xml:space="preserve"> settings and that even where </w:t>
      </w:r>
      <w:r w:rsidR="00BB4A3E" w:rsidRPr="005D6196">
        <w:rPr>
          <w:i/>
        </w:rPr>
        <w:t>public domain</w:t>
      </w:r>
      <w:r w:rsidR="00BB4A3E" w:rsidRPr="005D6196">
        <w:t xml:space="preserve"> settings are introduced, the effect of recontextualisation brings these settings into mathematics rather than, for example, taking mathematics out into the world. The latter effect would require a strategy operating in the opposite </w:t>
      </w:r>
      <w:r w:rsidR="00912E45" w:rsidRPr="005D6196">
        <w:t xml:space="preserve">direction: not a </w:t>
      </w:r>
      <w:r w:rsidR="00912E45" w:rsidRPr="005D6196">
        <w:rPr>
          <w:i/>
        </w:rPr>
        <w:t>push</w:t>
      </w:r>
      <w:r w:rsidR="00912E45" w:rsidRPr="005D6196">
        <w:t xml:space="preserve"> from mathematics, but a </w:t>
      </w:r>
      <w:r w:rsidR="00912E45" w:rsidRPr="005D6196">
        <w:rPr>
          <w:i/>
        </w:rPr>
        <w:t>fetch</w:t>
      </w:r>
      <w:r w:rsidR="00912E45" w:rsidRPr="005D6196">
        <w:t xml:space="preserve"> from the supermarket. I have also given further consideration to the nature of the </w:t>
      </w:r>
      <w:r w:rsidR="00912E45" w:rsidRPr="005D6196">
        <w:rPr>
          <w:i/>
        </w:rPr>
        <w:t>esoteric domain</w:t>
      </w:r>
      <w:r w:rsidR="00912E45" w:rsidRPr="005D6196">
        <w:t xml:space="preserve"> as an assemblage of strategic resources (in Figure 8)</w:t>
      </w:r>
      <w:r w:rsidR="003E1835" w:rsidRPr="005D6196">
        <w:t xml:space="preserve">, arguing that organising the curriculum on the basis of this assemblage might overcome some of the problems associated with the </w:t>
      </w:r>
      <w:r w:rsidR="003E1835" w:rsidRPr="005D6196">
        <w:rPr>
          <w:i/>
        </w:rPr>
        <w:t>forensic</w:t>
      </w:r>
      <w:r w:rsidR="003E1835" w:rsidRPr="005D6196">
        <w:t xml:space="preserve"> approach.</w:t>
      </w:r>
    </w:p>
    <w:p w:rsidR="00B80E16" w:rsidRPr="005D6196" w:rsidRDefault="003E1835" w:rsidP="00BB4A3E">
      <w:pPr>
        <w:ind w:firstLine="567"/>
      </w:pPr>
      <w:r w:rsidRPr="005D6196">
        <w:t xml:space="preserve">I earlier explained my use of the word ‘for’ in my title. The term left unexplained is ‘fractal’. It is there because the </w:t>
      </w:r>
      <w:r w:rsidRPr="005D6196">
        <w:rPr>
          <w:i/>
        </w:rPr>
        <w:t>method</w:t>
      </w:r>
      <w:r w:rsidRPr="005D6196">
        <w:t xml:space="preserve"> that I am presenting is characterised as independent of the level of analysis at which it is deployed. I have hinted at this in my initial explanation of the use of the SAM schemes: you need to reduce the level of analysis sufficiently in order to </w:t>
      </w:r>
      <w:r w:rsidR="000A06AE" w:rsidRPr="005D6196">
        <w:t>identify</w:t>
      </w:r>
      <w:r w:rsidRPr="005D6196">
        <w:t xml:space="preserve"> a unique mode</w:t>
      </w:r>
      <w:r w:rsidR="000A06AE" w:rsidRPr="005D6196">
        <w:t xml:space="preserve">, shall we say, </w:t>
      </w:r>
      <w:r w:rsidR="000A06AE" w:rsidRPr="005D6196">
        <w:rPr>
          <w:i/>
        </w:rPr>
        <w:t>metaphoric apparatus</w:t>
      </w:r>
      <w:r w:rsidR="000A06AE" w:rsidRPr="005D6196">
        <w:t xml:space="preserve">, </w:t>
      </w:r>
      <w:r w:rsidR="000A06AE" w:rsidRPr="005D6196">
        <w:rPr>
          <w:i/>
        </w:rPr>
        <w:t>metonymic apparatus</w:t>
      </w:r>
      <w:r w:rsidR="000A06AE" w:rsidRPr="005D6196">
        <w:t xml:space="preserve">, </w:t>
      </w:r>
      <w:r w:rsidR="000A06AE" w:rsidRPr="005D6196">
        <w:rPr>
          <w:i/>
        </w:rPr>
        <w:t>method</w:t>
      </w:r>
      <w:r w:rsidR="000A06AE" w:rsidRPr="005D6196">
        <w:t xml:space="preserve"> or </w:t>
      </w:r>
      <w:r w:rsidR="000A06AE" w:rsidRPr="005D6196">
        <w:rPr>
          <w:i/>
        </w:rPr>
        <w:t>fiction</w:t>
      </w:r>
      <w:r w:rsidR="00705656" w:rsidRPr="005D6196">
        <w:t>. M</w:t>
      </w:r>
      <w:r w:rsidR="000A06AE" w:rsidRPr="005D6196">
        <w:t xml:space="preserve">oving back up the levels of analysis will reveal any practice as hybrid, but the same language can be used consistently. Indeed, SAM is also capable of describing its own actions as I have also illustrated. </w:t>
      </w:r>
      <w:r w:rsidR="004A5230" w:rsidRPr="005D6196">
        <w:t>For example</w:t>
      </w:r>
      <w:r w:rsidR="000A06AE" w:rsidRPr="005D6196">
        <w:t>, it operates</w:t>
      </w:r>
      <w:r w:rsidR="004A5230" w:rsidRPr="005D6196">
        <w:t>, essentially,</w:t>
      </w:r>
      <w:r w:rsidR="000A06AE" w:rsidRPr="005D6196">
        <w:t xml:space="preserve"> as a </w:t>
      </w:r>
      <w:r w:rsidR="000A06AE" w:rsidRPr="005D6196">
        <w:rPr>
          <w:i/>
        </w:rPr>
        <w:t>method</w:t>
      </w:r>
      <w:r w:rsidR="000A06AE" w:rsidRPr="005D6196">
        <w:t xml:space="preserve">. Its internal language—or prejudice—is constituted as a single sentence concerning strategy, action, alliance and opposition, and emergence—its external language—or </w:t>
      </w:r>
      <w:r w:rsidR="002E2E6E" w:rsidRPr="005D6196">
        <w:t xml:space="preserve">dynamic </w:t>
      </w:r>
      <w:r w:rsidR="000A06AE" w:rsidRPr="005D6196">
        <w:t>legacy—comprises the SAM schemes, some of which are presented (and one of which is developed) in this paper.</w:t>
      </w:r>
      <w:r w:rsidR="006702A9" w:rsidRPr="005D6196">
        <w:t xml:space="preserve"> Primarily, SAM’s analytic action is DS</w:t>
      </w:r>
      <w:r w:rsidR="006702A9" w:rsidRPr="005D6196">
        <w:rPr>
          <w:vertAlign w:val="superscript"/>
        </w:rPr>
        <w:t>+</w:t>
      </w:r>
      <w:r w:rsidR="00F427CA" w:rsidRPr="005D6196">
        <w:t xml:space="preserve">, so its mode of recontextualising tends to be </w:t>
      </w:r>
      <w:r w:rsidR="00F427CA" w:rsidRPr="005D6196">
        <w:rPr>
          <w:i/>
        </w:rPr>
        <w:t>rationalising</w:t>
      </w:r>
      <w:r w:rsidR="00F427CA" w:rsidRPr="005D6196">
        <w:t xml:space="preserve"> or </w:t>
      </w:r>
      <w:r w:rsidR="00F427CA" w:rsidRPr="005D6196">
        <w:rPr>
          <w:i/>
        </w:rPr>
        <w:t>re-principling</w:t>
      </w:r>
      <w:r w:rsidR="00F427CA" w:rsidRPr="005D6196">
        <w:t xml:space="preserve">. The diagrams in Figures 1-5, 7 and 8 are graphic renderings of what can quite easily and unambiguously </w:t>
      </w:r>
      <w:proofErr w:type="gramStart"/>
      <w:r w:rsidR="00F427CA" w:rsidRPr="005D6196">
        <w:t>be</w:t>
      </w:r>
      <w:proofErr w:type="gramEnd"/>
      <w:r w:rsidR="00F427CA" w:rsidRPr="005D6196">
        <w:t xml:space="preserve"> rendered discursively; they are </w:t>
      </w:r>
      <w:r w:rsidR="00F427CA" w:rsidRPr="005D6196">
        <w:rPr>
          <w:i/>
        </w:rPr>
        <w:t xml:space="preserve">theorems </w:t>
      </w:r>
      <w:r w:rsidR="00F427CA" w:rsidRPr="005D6196">
        <w:t xml:space="preserve">rather than </w:t>
      </w:r>
      <w:r w:rsidR="00F427CA" w:rsidRPr="005D6196">
        <w:rPr>
          <w:i/>
        </w:rPr>
        <w:t>templates</w:t>
      </w:r>
      <w:r w:rsidR="00F427CA" w:rsidRPr="005D6196">
        <w:t>. Nevertheless, there must remain substantial DS</w:t>
      </w:r>
      <w:r w:rsidR="00F427CA" w:rsidRPr="005D6196">
        <w:rPr>
          <w:vertAlign w:val="superscript"/>
        </w:rPr>
        <w:t>-</w:t>
      </w:r>
      <w:r w:rsidR="00F427CA" w:rsidRPr="005D6196">
        <w:t xml:space="preserve"> content. I cannot, by definition, quite get at any of it, but I can point to, for example, the necessary uncertainty that is involved in the coding generating Figure 6 and the semiotic haze that must obscure all definitions of terms.</w:t>
      </w:r>
      <w:r w:rsidR="00B80E16" w:rsidRPr="005D6196">
        <w:t xml:space="preserve"> </w:t>
      </w:r>
    </w:p>
    <w:p w:rsidR="004065B2" w:rsidRPr="005D6196" w:rsidRDefault="00B80E16" w:rsidP="00E23135">
      <w:pPr>
        <w:ind w:firstLine="567"/>
      </w:pPr>
      <w:proofErr w:type="gramStart"/>
      <w:r w:rsidRPr="005D6196">
        <w:t>So here is a fractal language for mathematics—SAM.</w:t>
      </w:r>
      <w:proofErr w:type="gramEnd"/>
      <w:r w:rsidRPr="005D6196">
        <w:t xml:space="preserve"> Most crucially, however, </w:t>
      </w:r>
      <w:proofErr w:type="gramStart"/>
      <w:r w:rsidRPr="005D6196">
        <w:t>its</w:t>
      </w:r>
      <w:proofErr w:type="gramEnd"/>
      <w:r w:rsidRPr="005D6196">
        <w:t xml:space="preserve"> </w:t>
      </w:r>
      <w:r w:rsidRPr="005D6196">
        <w:rPr>
          <w:i/>
        </w:rPr>
        <w:t>rationalising</w:t>
      </w:r>
      <w:r w:rsidRPr="005D6196">
        <w:t xml:space="preserve">, </w:t>
      </w:r>
      <w:r w:rsidRPr="005D6196">
        <w:rPr>
          <w:i/>
        </w:rPr>
        <w:t>re-principling</w:t>
      </w:r>
      <w:r w:rsidRPr="005D6196">
        <w:t xml:space="preserve">, </w:t>
      </w:r>
      <w:r w:rsidRPr="005D6196">
        <w:rPr>
          <w:i/>
        </w:rPr>
        <w:t>de-principling</w:t>
      </w:r>
      <w:r w:rsidRPr="005D6196">
        <w:t xml:space="preserve"> and </w:t>
      </w:r>
      <w:r w:rsidRPr="005D6196">
        <w:rPr>
          <w:i/>
        </w:rPr>
        <w:t>improvising</w:t>
      </w:r>
      <w:r w:rsidRPr="005D6196">
        <w:t xml:space="preserve"> actions of recontextualisation must disable the social relations that characterise—albeit on an emergent basis—the alliances that constitute its object as their own</w:t>
      </w:r>
      <w:r w:rsidR="00BC68FA" w:rsidRPr="005D6196">
        <w:t>. Once discourse reaches its limits, other modes must take over.</w:t>
      </w:r>
    </w:p>
    <w:p w:rsidR="00E23135" w:rsidRPr="005D6196" w:rsidRDefault="00E23135" w:rsidP="00E23135">
      <w:pPr>
        <w:ind w:firstLine="567"/>
        <w:sectPr w:rsidR="00E23135" w:rsidRPr="005D6196" w:rsidSect="000D6171">
          <w:footerReference w:type="even" r:id="rId15"/>
          <w:footerReference w:type="default" r:id="rId16"/>
          <w:endnotePr>
            <w:numFmt w:val="decimal"/>
          </w:endnotePr>
          <w:type w:val="continuous"/>
          <w:pgSz w:w="11900" w:h="16820"/>
          <w:pgMar w:top="1440" w:right="1797" w:bottom="1440" w:left="1797" w:header="709" w:footer="709" w:gutter="0"/>
          <w:cols w:space="708"/>
          <w:titlePg/>
          <w:docGrid w:linePitch="360"/>
        </w:sectPr>
      </w:pPr>
    </w:p>
    <w:p w:rsidR="003E1835" w:rsidRPr="005D6196" w:rsidRDefault="003E1835" w:rsidP="004065B2"/>
    <w:p w:rsidR="00F2310D" w:rsidRPr="005D6196" w:rsidRDefault="00D4160A" w:rsidP="004065B2">
      <w:hyperlink r:id="rId17" w:history="1">
        <w:r w:rsidR="00F2310D" w:rsidRPr="005D6196">
          <w:rPr>
            <w:rStyle w:val="Hyperlink"/>
          </w:rPr>
          <w:t>www.pauldowling.me</w:t>
        </w:r>
      </w:hyperlink>
    </w:p>
    <w:p w:rsidR="00F2310D" w:rsidRPr="005D6196" w:rsidRDefault="00F2310D" w:rsidP="004065B2"/>
    <w:p w:rsidR="006265E9" w:rsidRPr="005D6196" w:rsidRDefault="0096735B" w:rsidP="003E3350">
      <w:pPr>
        <w:ind w:firstLine="567"/>
        <w:rPr>
          <w:i/>
          <w:sz w:val="28"/>
          <w:szCs w:val="28"/>
        </w:rPr>
      </w:pPr>
      <w:r w:rsidRPr="005D6196">
        <w:rPr>
          <w:i/>
          <w:sz w:val="28"/>
          <w:szCs w:val="28"/>
        </w:rPr>
        <w:t>Acknowledgement</w:t>
      </w:r>
      <w:r w:rsidR="00CE4C99" w:rsidRPr="005D6196">
        <w:rPr>
          <w:i/>
          <w:sz w:val="28"/>
          <w:szCs w:val="28"/>
        </w:rPr>
        <w:t>s</w:t>
      </w:r>
    </w:p>
    <w:p w:rsidR="0096735B" w:rsidRPr="005D6196" w:rsidRDefault="0096735B" w:rsidP="003E3350">
      <w:pPr>
        <w:ind w:firstLine="567"/>
      </w:pPr>
    </w:p>
    <w:p w:rsidR="0096735B" w:rsidRPr="005D6196" w:rsidRDefault="0096735B" w:rsidP="0096735B">
      <w:r w:rsidRPr="005D6196">
        <w:t>I am grateful to Soh-young Chung</w:t>
      </w:r>
      <w:r w:rsidR="00A51DCE" w:rsidRPr="005D6196">
        <w:t xml:space="preserve"> and Russell Dudley-Smith</w:t>
      </w:r>
      <w:r w:rsidRPr="005D6196">
        <w:t xml:space="preserve"> for </w:t>
      </w:r>
      <w:r w:rsidR="00A51DCE" w:rsidRPr="005D6196">
        <w:t xml:space="preserve">their </w:t>
      </w:r>
      <w:r w:rsidRPr="005D6196">
        <w:t xml:space="preserve">critical interrogation of the first draft of this paper and to the organisers of and participants </w:t>
      </w:r>
      <w:r w:rsidR="00705656" w:rsidRPr="005D6196">
        <w:t>in</w:t>
      </w:r>
      <w:r w:rsidRPr="005D6196">
        <w:t xml:space="preserve"> </w:t>
      </w:r>
      <w:r w:rsidRPr="005D6196">
        <w:lastRenderedPageBreak/>
        <w:t xml:space="preserve">the Madif7 conference, Stockholm University, January 2010, where some of the ideas in the paper were first </w:t>
      </w:r>
      <w:r w:rsidR="001E37D2" w:rsidRPr="005D6196">
        <w:t xml:space="preserve">opened up in my plenary </w:t>
      </w:r>
      <w:r w:rsidR="00705656" w:rsidRPr="005D6196">
        <w:t>address</w:t>
      </w:r>
      <w:r w:rsidR="001E37D2" w:rsidRPr="005D6196">
        <w:t>.</w:t>
      </w:r>
    </w:p>
    <w:p w:rsidR="003F3138" w:rsidRPr="005D6196" w:rsidRDefault="003F3138" w:rsidP="003E3350">
      <w:pPr>
        <w:ind w:firstLine="567"/>
      </w:pPr>
    </w:p>
    <w:p w:rsidR="003F3138" w:rsidRPr="005D6196" w:rsidRDefault="003F3138" w:rsidP="003E3350">
      <w:pPr>
        <w:ind w:firstLine="567"/>
      </w:pPr>
    </w:p>
    <w:p w:rsidR="0076559B" w:rsidRPr="005D6196" w:rsidRDefault="00E374E5" w:rsidP="0096735B">
      <w:pPr>
        <w:keepNext/>
        <w:ind w:firstLine="567"/>
        <w:rPr>
          <w:b/>
          <w:sz w:val="28"/>
          <w:szCs w:val="28"/>
        </w:rPr>
      </w:pPr>
      <w:r w:rsidRPr="005D6196">
        <w:rPr>
          <w:b/>
          <w:i/>
          <w:sz w:val="28"/>
          <w:szCs w:val="28"/>
        </w:rPr>
        <w:t>References</w:t>
      </w:r>
    </w:p>
    <w:p w:rsidR="0076559B" w:rsidRPr="005D6196" w:rsidRDefault="0076559B" w:rsidP="0096735B">
      <w:pPr>
        <w:keepNext/>
        <w:ind w:firstLine="567"/>
        <w:rPr>
          <w:sz w:val="28"/>
          <w:szCs w:val="28"/>
        </w:rPr>
      </w:pPr>
    </w:p>
    <w:p w:rsidR="001C357F" w:rsidRPr="005D6196" w:rsidRDefault="001C357F" w:rsidP="005D6196">
      <w:pPr>
        <w:keepNext/>
        <w:widowControl w:val="0"/>
        <w:autoSpaceDE w:val="0"/>
        <w:autoSpaceDN w:val="0"/>
        <w:adjustRightInd w:val="0"/>
        <w:ind w:left="720" w:hanging="720"/>
        <w:rPr>
          <w:rFonts w:cs="Times New Roman"/>
        </w:rPr>
      </w:pPr>
      <w:r w:rsidRPr="005D6196">
        <w:rPr>
          <w:rFonts w:cs="Times New Roman"/>
        </w:rPr>
        <w:t xml:space="preserve">Babbedge, </w:t>
      </w:r>
      <w:proofErr w:type="spellStart"/>
      <w:r w:rsidRPr="005D6196">
        <w:rPr>
          <w:rFonts w:cs="Times New Roman"/>
        </w:rPr>
        <w:t>T.S.R.</w:t>
      </w:r>
      <w:proofErr w:type="spellEnd"/>
      <w:r w:rsidRPr="005D6196">
        <w:rPr>
          <w:rFonts w:cs="Times New Roman"/>
        </w:rPr>
        <w:t xml:space="preserve">, Whitaker, R. &amp; Morris, S. (2005). ‘Can a photometric redshift code reliably determine dust extinction? </w:t>
      </w:r>
      <w:proofErr w:type="gramStart"/>
      <w:r w:rsidRPr="005D6196">
        <w:rPr>
          <w:rFonts w:cs="Times New Roman"/>
          <w:i/>
        </w:rPr>
        <w:t>Monthly Notices of the Royal Astronomical Society</w:t>
      </w:r>
      <w:r w:rsidRPr="005D6196">
        <w:rPr>
          <w:rFonts w:cs="Times New Roman"/>
        </w:rPr>
        <w:t>.</w:t>
      </w:r>
      <w:proofErr w:type="gramEnd"/>
      <w:r w:rsidRPr="005D6196">
        <w:rPr>
          <w:rFonts w:cs="Times New Roman"/>
        </w:rPr>
        <w:t xml:space="preserve"> </w:t>
      </w:r>
      <w:proofErr w:type="gramStart"/>
      <w:r w:rsidRPr="005D6196">
        <w:rPr>
          <w:rFonts w:cs="Times New Roman"/>
        </w:rPr>
        <w:t>361(2).</w:t>
      </w:r>
      <w:proofErr w:type="gramEnd"/>
      <w:r w:rsidRPr="005D6196">
        <w:rPr>
          <w:rFonts w:cs="Times New Roman"/>
        </w:rPr>
        <w:t xml:space="preserve"> </w:t>
      </w:r>
      <w:proofErr w:type="gramStart"/>
      <w:r w:rsidRPr="005D6196">
        <w:rPr>
          <w:rFonts w:cs="Times New Roman"/>
        </w:rPr>
        <w:t>437-450.</w:t>
      </w:r>
      <w:proofErr w:type="gramEnd"/>
    </w:p>
    <w:p w:rsidR="00967152" w:rsidRPr="005D6196" w:rsidRDefault="00445851" w:rsidP="005D6196">
      <w:pPr>
        <w:widowControl w:val="0"/>
        <w:autoSpaceDE w:val="0"/>
        <w:autoSpaceDN w:val="0"/>
        <w:adjustRightInd w:val="0"/>
        <w:ind w:left="720" w:hanging="720"/>
        <w:rPr>
          <w:rFonts w:cs="Times New Roman"/>
        </w:rPr>
      </w:pPr>
      <w:r w:rsidRPr="005D6196">
        <w:rPr>
          <w:rFonts w:cs="Times New Roman"/>
        </w:rPr>
        <w:t xml:space="preserve">Bernstein, B. B. (1996). </w:t>
      </w:r>
      <w:proofErr w:type="gramStart"/>
      <w:r w:rsidRPr="005D6196">
        <w:rPr>
          <w:rFonts w:cs="Times New Roman"/>
          <w:i/>
        </w:rPr>
        <w:t>Pedagogy, Symbolic Control and Identity</w:t>
      </w:r>
      <w:r w:rsidRPr="005D6196">
        <w:rPr>
          <w:rFonts w:cs="Times New Roman"/>
        </w:rPr>
        <w:t>.</w:t>
      </w:r>
      <w:proofErr w:type="gramEnd"/>
      <w:r w:rsidRPr="005D6196">
        <w:rPr>
          <w:rFonts w:cs="Times New Roman"/>
        </w:rPr>
        <w:t xml:space="preserve"> London. </w:t>
      </w:r>
      <w:proofErr w:type="gramStart"/>
      <w:r w:rsidRPr="005D6196">
        <w:rPr>
          <w:rFonts w:cs="Times New Roman"/>
        </w:rPr>
        <w:t>Taylor &amp; Francis.</w:t>
      </w:r>
      <w:proofErr w:type="gramEnd"/>
    </w:p>
    <w:p w:rsidR="00967152" w:rsidRPr="005D6196" w:rsidRDefault="00967152" w:rsidP="005D6196">
      <w:pPr>
        <w:widowControl w:val="0"/>
        <w:autoSpaceDE w:val="0"/>
        <w:autoSpaceDN w:val="0"/>
        <w:adjustRightInd w:val="0"/>
        <w:ind w:left="720" w:hanging="720"/>
        <w:rPr>
          <w:rFonts w:cs="Times New Roman"/>
        </w:rPr>
      </w:pPr>
      <w:r w:rsidRPr="005D6196">
        <w:rPr>
          <w:rFonts w:cs="Times New Roman"/>
        </w:rPr>
        <w:t xml:space="preserve">Bernstein, B. B. (1999). ‘Vertical and Horizontal Discourse: An essay.’ </w:t>
      </w:r>
      <w:proofErr w:type="gramStart"/>
      <w:r w:rsidRPr="005D6196">
        <w:rPr>
          <w:rFonts w:cs="Times New Roman"/>
          <w:i/>
          <w:u w:val="single"/>
        </w:rPr>
        <w:t>British Journal of Sociology of Education</w:t>
      </w:r>
      <w:r w:rsidRPr="005D6196">
        <w:rPr>
          <w:rFonts w:cs="Times New Roman"/>
          <w:u w:val="single"/>
        </w:rPr>
        <w:t>.</w:t>
      </w:r>
      <w:proofErr w:type="gramEnd"/>
      <w:r w:rsidRPr="005D6196">
        <w:rPr>
          <w:rFonts w:cs="Times New Roman"/>
        </w:rPr>
        <w:t xml:space="preserve"> </w:t>
      </w:r>
      <w:proofErr w:type="gramStart"/>
      <w:r w:rsidRPr="005D6196">
        <w:rPr>
          <w:rFonts w:cs="Times New Roman"/>
          <w:b/>
          <w:bCs/>
        </w:rPr>
        <w:t>20</w:t>
      </w:r>
      <w:r w:rsidRPr="005D6196">
        <w:rPr>
          <w:rFonts w:cs="Times New Roman"/>
        </w:rPr>
        <w:t>(2).</w:t>
      </w:r>
      <w:proofErr w:type="gramEnd"/>
      <w:r w:rsidRPr="005D6196">
        <w:rPr>
          <w:rFonts w:cs="Times New Roman"/>
        </w:rPr>
        <w:t xml:space="preserve"> </w:t>
      </w:r>
      <w:proofErr w:type="gramStart"/>
      <w:r w:rsidRPr="005D6196">
        <w:rPr>
          <w:rFonts w:cs="Times New Roman"/>
        </w:rPr>
        <w:t>158-173.</w:t>
      </w:r>
      <w:proofErr w:type="gramEnd"/>
    </w:p>
    <w:p w:rsidR="0097142F" w:rsidRPr="005D6196" w:rsidRDefault="0097142F" w:rsidP="005D6196">
      <w:pPr>
        <w:widowControl w:val="0"/>
        <w:autoSpaceDE w:val="0"/>
        <w:autoSpaceDN w:val="0"/>
        <w:adjustRightInd w:val="0"/>
        <w:ind w:left="720" w:hanging="720"/>
        <w:rPr>
          <w:rFonts w:cs="Times New Roman"/>
        </w:rPr>
      </w:pPr>
      <w:r w:rsidRPr="005D6196">
        <w:rPr>
          <w:rFonts w:cs="Times New Roman"/>
        </w:rPr>
        <w:t xml:space="preserve">Bourdieu, P. (1977). </w:t>
      </w:r>
      <w:proofErr w:type="gramStart"/>
      <w:r w:rsidRPr="005D6196">
        <w:rPr>
          <w:rFonts w:cs="Times New Roman"/>
          <w:i/>
        </w:rPr>
        <w:t>Outline of a Theory of Practice</w:t>
      </w:r>
      <w:r w:rsidRPr="005D6196">
        <w:rPr>
          <w:rFonts w:cs="Times New Roman"/>
        </w:rPr>
        <w:t>.</w:t>
      </w:r>
      <w:proofErr w:type="gramEnd"/>
      <w:r w:rsidRPr="005D6196">
        <w:rPr>
          <w:rFonts w:cs="Times New Roman"/>
        </w:rPr>
        <w:t xml:space="preserve"> Cambridge. </w:t>
      </w:r>
      <w:proofErr w:type="gramStart"/>
      <w:r w:rsidRPr="005D6196">
        <w:rPr>
          <w:rFonts w:cs="Times New Roman"/>
        </w:rPr>
        <w:t>CUP.</w:t>
      </w:r>
      <w:proofErr w:type="gramEnd"/>
    </w:p>
    <w:p w:rsidR="0097142F" w:rsidRPr="005D6196" w:rsidRDefault="0097142F" w:rsidP="005D6196">
      <w:pPr>
        <w:widowControl w:val="0"/>
        <w:autoSpaceDE w:val="0"/>
        <w:autoSpaceDN w:val="0"/>
        <w:adjustRightInd w:val="0"/>
        <w:ind w:left="720" w:hanging="720"/>
        <w:rPr>
          <w:rFonts w:cs="Times New Roman"/>
        </w:rPr>
      </w:pPr>
      <w:r w:rsidRPr="005D6196">
        <w:rPr>
          <w:rFonts w:cs="Times New Roman"/>
        </w:rPr>
        <w:t xml:space="preserve">Bourdieu, P. (1990). </w:t>
      </w:r>
      <w:proofErr w:type="gramStart"/>
      <w:r w:rsidRPr="005D6196">
        <w:rPr>
          <w:rFonts w:cs="Times New Roman"/>
          <w:i/>
        </w:rPr>
        <w:t>The Logic of Practice</w:t>
      </w:r>
      <w:r w:rsidRPr="005D6196">
        <w:rPr>
          <w:rFonts w:cs="Times New Roman"/>
        </w:rPr>
        <w:t>.</w:t>
      </w:r>
      <w:proofErr w:type="gramEnd"/>
      <w:r w:rsidRPr="005D6196">
        <w:rPr>
          <w:rFonts w:cs="Times New Roman"/>
        </w:rPr>
        <w:t xml:space="preserve"> Cambridge. </w:t>
      </w:r>
      <w:proofErr w:type="gramStart"/>
      <w:r w:rsidRPr="005D6196">
        <w:rPr>
          <w:rFonts w:cs="Times New Roman"/>
        </w:rPr>
        <w:t>Polity.</w:t>
      </w:r>
      <w:proofErr w:type="gramEnd"/>
    </w:p>
    <w:p w:rsidR="002D786F" w:rsidRPr="005D6196" w:rsidRDefault="002D786F" w:rsidP="005D6196">
      <w:pPr>
        <w:ind w:left="720" w:hanging="720"/>
      </w:pPr>
      <w:r w:rsidRPr="005D6196">
        <w:t xml:space="preserve">Brantlinger, A. (2011). ‘Rethinking critical mathematics: a comparative analysis of critical, reform, </w:t>
      </w:r>
      <w:proofErr w:type="gramStart"/>
      <w:r w:rsidRPr="005D6196">
        <w:t>and  traditional</w:t>
      </w:r>
      <w:proofErr w:type="gramEnd"/>
      <w:r w:rsidRPr="005D6196">
        <w:t xml:space="preserve"> geometry instructional texts.’ </w:t>
      </w:r>
      <w:proofErr w:type="gramStart"/>
      <w:r w:rsidRPr="005D6196">
        <w:rPr>
          <w:i/>
        </w:rPr>
        <w:t>Educational Studies in Mathematics</w:t>
      </w:r>
      <w:r w:rsidRPr="005D6196">
        <w:t>.</w:t>
      </w:r>
      <w:proofErr w:type="gramEnd"/>
      <w:r w:rsidRPr="005D6196">
        <w:t xml:space="preserve"> </w:t>
      </w:r>
      <w:proofErr w:type="gramStart"/>
      <w:r w:rsidRPr="005D6196">
        <w:t>78(3).</w:t>
      </w:r>
      <w:proofErr w:type="gramEnd"/>
      <w:r w:rsidRPr="005D6196">
        <w:t xml:space="preserve"> </w:t>
      </w:r>
      <w:proofErr w:type="gramStart"/>
      <w:r w:rsidRPr="005D6196">
        <w:t>395-411.</w:t>
      </w:r>
      <w:proofErr w:type="gramEnd"/>
    </w:p>
    <w:p w:rsidR="004937CE" w:rsidRPr="005D6196" w:rsidRDefault="004937CE" w:rsidP="005D6196">
      <w:pPr>
        <w:ind w:left="720" w:hanging="720"/>
        <w:rPr>
          <w:rFonts w:cs="Times New Roman"/>
        </w:rPr>
      </w:pPr>
      <w:r w:rsidRPr="005D6196">
        <w:t xml:space="preserve">Carr, W. &amp; Kemmis, S. (1986). </w:t>
      </w:r>
      <w:r w:rsidRPr="005D6196">
        <w:rPr>
          <w:i/>
        </w:rPr>
        <w:t xml:space="preserve">Becoming Critical: education, knowledge and action </w:t>
      </w:r>
      <w:r w:rsidRPr="005D6196">
        <w:rPr>
          <w:rFonts w:cs="Times New Roman"/>
          <w:i/>
        </w:rPr>
        <w:t>research</w:t>
      </w:r>
      <w:r w:rsidRPr="005D6196">
        <w:rPr>
          <w:rFonts w:cs="Times New Roman"/>
        </w:rPr>
        <w:t xml:space="preserve">. Oxford. </w:t>
      </w:r>
      <w:proofErr w:type="spellStart"/>
      <w:proofErr w:type="gramStart"/>
      <w:r w:rsidRPr="005D6196">
        <w:rPr>
          <w:rFonts w:cs="Times New Roman"/>
        </w:rPr>
        <w:t>RoutledgeFalmer</w:t>
      </w:r>
      <w:proofErr w:type="spellEnd"/>
      <w:r w:rsidRPr="005D6196">
        <w:rPr>
          <w:rFonts w:cs="Times New Roman"/>
        </w:rPr>
        <w:t>.</w:t>
      </w:r>
      <w:proofErr w:type="gramEnd"/>
    </w:p>
    <w:p w:rsidR="00C47C4A" w:rsidRPr="005D6196" w:rsidRDefault="00C47C4A" w:rsidP="005D6196">
      <w:pPr>
        <w:tabs>
          <w:tab w:val="right" w:pos="8364"/>
        </w:tabs>
        <w:ind w:left="720" w:hanging="720"/>
        <w:rPr>
          <w:rFonts w:cs="Times New Roman"/>
        </w:rPr>
      </w:pPr>
      <w:proofErr w:type="gramStart"/>
      <w:r w:rsidRPr="005D6196">
        <w:rPr>
          <w:rFonts w:cs="Times New Roman"/>
        </w:rPr>
        <w:t>C</w:t>
      </w:r>
      <w:r w:rsidR="00445851" w:rsidRPr="005D6196">
        <w:rPr>
          <w:rFonts w:cs="Times New Roman"/>
        </w:rPr>
        <w:t>hung</w:t>
      </w:r>
      <w:r w:rsidRPr="005D6196">
        <w:rPr>
          <w:rFonts w:cs="Times New Roman"/>
        </w:rPr>
        <w:t>, S-y.</w:t>
      </w:r>
      <w:proofErr w:type="gramEnd"/>
      <w:r w:rsidRPr="005D6196">
        <w:rPr>
          <w:rFonts w:cs="Times New Roman"/>
        </w:rPr>
        <w:t xml:space="preserve"> (2011). ‘</w:t>
      </w:r>
      <w:proofErr w:type="gramStart"/>
      <w:r w:rsidRPr="005D6196">
        <w:rPr>
          <w:rFonts w:cs="Times New Roman"/>
        </w:rPr>
        <w:t>The</w:t>
      </w:r>
      <w:proofErr w:type="gramEnd"/>
      <w:r w:rsidRPr="005D6196">
        <w:rPr>
          <w:rFonts w:cs="Times New Roman"/>
        </w:rPr>
        <w:t xml:space="preserve"> modality of the textual institutionalisation of literary studies: towards a sociology.’ </w:t>
      </w:r>
      <w:proofErr w:type="gramStart"/>
      <w:r w:rsidRPr="005D6196">
        <w:rPr>
          <w:rFonts w:cs="Times New Roman"/>
          <w:i/>
        </w:rPr>
        <w:t>Sociological Research Online</w:t>
      </w:r>
      <w:r w:rsidRPr="005D6196">
        <w:rPr>
          <w:rFonts w:cs="Times New Roman"/>
        </w:rPr>
        <w:t>.</w:t>
      </w:r>
      <w:proofErr w:type="gramEnd"/>
      <w:r w:rsidRPr="005D6196">
        <w:rPr>
          <w:rFonts w:cs="Times New Roman"/>
        </w:rPr>
        <w:t xml:space="preserve"> 16/3/3. 1-14</w:t>
      </w:r>
    </w:p>
    <w:p w:rsidR="00664691" w:rsidRPr="005D6196" w:rsidRDefault="00664691" w:rsidP="005D6196">
      <w:pPr>
        <w:widowControl w:val="0"/>
        <w:autoSpaceDE w:val="0"/>
        <w:autoSpaceDN w:val="0"/>
        <w:adjustRightInd w:val="0"/>
        <w:ind w:left="720" w:hanging="720"/>
        <w:rPr>
          <w:rFonts w:cs="Times New Roman"/>
        </w:rPr>
      </w:pPr>
      <w:proofErr w:type="gramStart"/>
      <w:r w:rsidRPr="005D6196">
        <w:rPr>
          <w:rFonts w:cs="Times New Roman"/>
        </w:rPr>
        <w:t>Collins, H. &amp; Pinch, T. (1998).</w:t>
      </w:r>
      <w:proofErr w:type="gramEnd"/>
      <w:r w:rsidRPr="005D6196">
        <w:rPr>
          <w:rFonts w:cs="Times New Roman"/>
        </w:rPr>
        <w:t xml:space="preserve"> </w:t>
      </w:r>
      <w:r w:rsidRPr="005D6196">
        <w:rPr>
          <w:rFonts w:cs="Times New Roman"/>
          <w:i/>
          <w:u w:val="single"/>
        </w:rPr>
        <w:t>The Golem: what you should know about science</w:t>
      </w:r>
      <w:r w:rsidRPr="005D6196">
        <w:rPr>
          <w:rFonts w:cs="Times New Roman"/>
        </w:rPr>
        <w:t>. London, CUP.</w:t>
      </w:r>
    </w:p>
    <w:p w:rsidR="00272652" w:rsidRPr="005D6196" w:rsidRDefault="00272652" w:rsidP="005D6196">
      <w:pPr>
        <w:widowControl w:val="0"/>
        <w:autoSpaceDE w:val="0"/>
        <w:autoSpaceDN w:val="0"/>
        <w:adjustRightInd w:val="0"/>
        <w:ind w:left="720" w:hanging="720"/>
        <w:rPr>
          <w:rFonts w:cs="Times New Roman"/>
        </w:rPr>
      </w:pPr>
      <w:proofErr w:type="gramStart"/>
      <w:r w:rsidRPr="005D6196">
        <w:rPr>
          <w:rFonts w:cs="Times New Roman"/>
        </w:rPr>
        <w:t>Deleuze, G. and F. Guattari (1987).</w:t>
      </w:r>
      <w:proofErr w:type="gramEnd"/>
      <w:r w:rsidRPr="005D6196">
        <w:rPr>
          <w:rFonts w:cs="Times New Roman"/>
        </w:rPr>
        <w:t xml:space="preserve"> </w:t>
      </w:r>
      <w:r w:rsidRPr="005D6196">
        <w:rPr>
          <w:rFonts w:cs="Times New Roman"/>
          <w:i/>
        </w:rPr>
        <w:t>A Thousand Plateaus: Capitalism and schizophrenia</w:t>
      </w:r>
      <w:r w:rsidRPr="005D6196">
        <w:rPr>
          <w:rFonts w:cs="Times New Roman"/>
          <w:u w:val="single"/>
        </w:rPr>
        <w:t>.</w:t>
      </w:r>
      <w:r w:rsidRPr="005D6196">
        <w:rPr>
          <w:rFonts w:cs="Times New Roman"/>
        </w:rPr>
        <w:t xml:space="preserve"> Minneapolis. </w:t>
      </w:r>
      <w:proofErr w:type="gramStart"/>
      <w:r w:rsidRPr="005D6196">
        <w:rPr>
          <w:rFonts w:cs="Times New Roman"/>
        </w:rPr>
        <w:t>University of Minnesota Press.</w:t>
      </w:r>
      <w:proofErr w:type="gramEnd"/>
    </w:p>
    <w:p w:rsidR="00FA48BA" w:rsidRPr="005D6196" w:rsidRDefault="00FA48BA" w:rsidP="005D6196">
      <w:pPr>
        <w:pStyle w:val="References"/>
        <w:spacing w:after="0" w:line="240" w:lineRule="auto"/>
        <w:ind w:left="720" w:hanging="720"/>
        <w:jc w:val="both"/>
        <w:rPr>
          <w:rFonts w:ascii="Times New Roman" w:hAnsi="Times New Roman"/>
          <w:sz w:val="24"/>
          <w:szCs w:val="24"/>
          <w:lang w:val="en-GB"/>
        </w:rPr>
      </w:pPr>
      <w:r w:rsidRPr="005D6196">
        <w:rPr>
          <w:rFonts w:ascii="Times New Roman" w:hAnsi="Times New Roman"/>
          <w:sz w:val="24"/>
          <w:szCs w:val="24"/>
          <w:lang w:val="en-GB"/>
        </w:rPr>
        <w:t xml:space="preserve">Dowling, P.C. (1994). Discursive saturation and school mathematics texts: A strand from a language of description, In P. Ernest (Ed.). </w:t>
      </w:r>
      <w:r w:rsidRPr="005D6196">
        <w:rPr>
          <w:rFonts w:ascii="Times New Roman" w:hAnsi="Times New Roman"/>
          <w:i/>
          <w:sz w:val="24"/>
          <w:szCs w:val="24"/>
          <w:lang w:val="en-GB"/>
        </w:rPr>
        <w:t xml:space="preserve">Mathematics, Education and Philosophy: </w:t>
      </w:r>
      <w:proofErr w:type="gramStart"/>
      <w:r w:rsidRPr="005D6196">
        <w:rPr>
          <w:rFonts w:ascii="Times New Roman" w:hAnsi="Times New Roman"/>
          <w:i/>
          <w:sz w:val="24"/>
          <w:szCs w:val="24"/>
          <w:lang w:val="en-GB"/>
        </w:rPr>
        <w:t>An</w:t>
      </w:r>
      <w:proofErr w:type="gramEnd"/>
      <w:r w:rsidRPr="005D6196">
        <w:rPr>
          <w:rFonts w:ascii="Times New Roman" w:hAnsi="Times New Roman"/>
          <w:i/>
          <w:sz w:val="24"/>
          <w:szCs w:val="24"/>
          <w:lang w:val="en-GB"/>
        </w:rPr>
        <w:t xml:space="preserve"> international perspective</w:t>
      </w:r>
      <w:r w:rsidRPr="005D6196">
        <w:rPr>
          <w:rFonts w:ascii="Times New Roman" w:hAnsi="Times New Roman"/>
          <w:sz w:val="24"/>
          <w:szCs w:val="24"/>
          <w:lang w:val="en-GB"/>
        </w:rPr>
        <w:t>, London. Falmer Press.</w:t>
      </w:r>
    </w:p>
    <w:p w:rsidR="00FA48BA" w:rsidRPr="005D6196" w:rsidRDefault="00FA48BA" w:rsidP="005D6196">
      <w:pPr>
        <w:pStyle w:val="References"/>
        <w:spacing w:after="0" w:line="240" w:lineRule="auto"/>
        <w:ind w:left="720" w:hanging="720"/>
        <w:jc w:val="both"/>
        <w:rPr>
          <w:rFonts w:ascii="Times New Roman" w:hAnsi="Times New Roman"/>
          <w:sz w:val="24"/>
          <w:szCs w:val="24"/>
          <w:lang w:val="en-GB"/>
        </w:rPr>
      </w:pPr>
      <w:r w:rsidRPr="005D6196">
        <w:rPr>
          <w:rFonts w:ascii="Times New Roman" w:hAnsi="Times New Roman"/>
          <w:sz w:val="24"/>
          <w:szCs w:val="24"/>
          <w:lang w:val="en-GB"/>
        </w:rPr>
        <w:t xml:space="preserve">Dowling, P.C. (1995). ‘A Language for the Sociological Description of Pedagogic Texts with Particular Reference to the Secondary School Mathematics Scheme </w:t>
      </w:r>
      <w:proofErr w:type="spellStart"/>
      <w:r w:rsidRPr="005D6196">
        <w:rPr>
          <w:rFonts w:ascii="Times New Roman" w:hAnsi="Times New Roman"/>
          <w:i/>
          <w:sz w:val="24"/>
          <w:szCs w:val="24"/>
          <w:lang w:val="en-GB"/>
        </w:rPr>
        <w:t>SMP</w:t>
      </w:r>
      <w:proofErr w:type="spellEnd"/>
      <w:r w:rsidRPr="005D6196">
        <w:rPr>
          <w:rFonts w:ascii="Times New Roman" w:hAnsi="Times New Roman"/>
          <w:i/>
          <w:sz w:val="24"/>
          <w:szCs w:val="24"/>
          <w:lang w:val="en-GB"/>
        </w:rPr>
        <w:t xml:space="preserve"> 11-16</w:t>
      </w:r>
      <w:r w:rsidRPr="005D6196">
        <w:rPr>
          <w:rFonts w:ascii="Times New Roman" w:hAnsi="Times New Roman"/>
          <w:sz w:val="24"/>
          <w:szCs w:val="24"/>
          <w:lang w:val="en-GB"/>
        </w:rPr>
        <w:t xml:space="preserve">’. </w:t>
      </w:r>
      <w:proofErr w:type="gramStart"/>
      <w:r w:rsidRPr="005D6196">
        <w:rPr>
          <w:rFonts w:ascii="Times New Roman" w:hAnsi="Times New Roman"/>
          <w:i/>
          <w:sz w:val="24"/>
          <w:szCs w:val="24"/>
          <w:lang w:val="en-GB"/>
        </w:rPr>
        <w:t>Collected Original Resources in Education</w:t>
      </w:r>
      <w:r w:rsidRPr="005D6196">
        <w:rPr>
          <w:rFonts w:ascii="Times New Roman" w:hAnsi="Times New Roman"/>
          <w:sz w:val="24"/>
          <w:szCs w:val="24"/>
          <w:lang w:val="en-GB"/>
        </w:rPr>
        <w:t>.</w:t>
      </w:r>
      <w:proofErr w:type="gramEnd"/>
      <w:r w:rsidRPr="005D6196">
        <w:rPr>
          <w:rFonts w:ascii="Times New Roman" w:hAnsi="Times New Roman"/>
          <w:sz w:val="24"/>
          <w:szCs w:val="24"/>
          <w:lang w:val="en-GB"/>
        </w:rPr>
        <w:t xml:space="preserve"> </w:t>
      </w:r>
      <w:proofErr w:type="gramStart"/>
      <w:r w:rsidRPr="005D6196">
        <w:rPr>
          <w:rFonts w:ascii="Times New Roman" w:hAnsi="Times New Roman"/>
          <w:sz w:val="24"/>
          <w:szCs w:val="24"/>
          <w:lang w:val="en-GB"/>
        </w:rPr>
        <w:t>19(2).</w:t>
      </w:r>
      <w:proofErr w:type="gramEnd"/>
      <w:r w:rsidRPr="005D6196">
        <w:rPr>
          <w:rFonts w:ascii="Times New Roman" w:hAnsi="Times New Roman"/>
          <w:sz w:val="24"/>
          <w:szCs w:val="24"/>
          <w:lang w:val="en-GB"/>
        </w:rPr>
        <w:t xml:space="preserve"> No journal page numbers.</w:t>
      </w:r>
    </w:p>
    <w:p w:rsidR="00FA48BA" w:rsidRPr="005D6196" w:rsidRDefault="00FA48BA" w:rsidP="005D6196">
      <w:pPr>
        <w:pStyle w:val="References"/>
        <w:spacing w:after="0" w:line="240" w:lineRule="auto"/>
        <w:ind w:left="720" w:hanging="720"/>
        <w:jc w:val="both"/>
        <w:rPr>
          <w:rFonts w:ascii="Times New Roman" w:hAnsi="Times New Roman"/>
          <w:sz w:val="24"/>
          <w:szCs w:val="24"/>
          <w:lang w:val="en-GB"/>
        </w:rPr>
      </w:pPr>
      <w:r w:rsidRPr="005D6196">
        <w:rPr>
          <w:rFonts w:ascii="Times New Roman" w:hAnsi="Times New Roman"/>
          <w:sz w:val="24"/>
          <w:szCs w:val="24"/>
          <w:lang w:val="en-GB"/>
        </w:rPr>
        <w:t xml:space="preserve">Dowling, P.C. (1996). </w:t>
      </w:r>
      <w:proofErr w:type="gramStart"/>
      <w:r w:rsidRPr="005D6196">
        <w:rPr>
          <w:rFonts w:ascii="Times New Roman" w:hAnsi="Times New Roman"/>
          <w:sz w:val="24"/>
          <w:szCs w:val="24"/>
          <w:lang w:val="en-GB"/>
        </w:rPr>
        <w:t>A sociological analysis of school mathematics texts.</w:t>
      </w:r>
      <w:proofErr w:type="gramEnd"/>
      <w:r w:rsidRPr="005D6196">
        <w:rPr>
          <w:rFonts w:ascii="Times New Roman" w:hAnsi="Times New Roman"/>
          <w:sz w:val="24"/>
          <w:szCs w:val="24"/>
          <w:lang w:val="en-GB"/>
        </w:rPr>
        <w:t xml:space="preserve"> </w:t>
      </w:r>
      <w:proofErr w:type="gramStart"/>
      <w:r w:rsidRPr="005D6196">
        <w:rPr>
          <w:rFonts w:ascii="Times New Roman" w:hAnsi="Times New Roman"/>
          <w:i/>
          <w:sz w:val="24"/>
          <w:szCs w:val="24"/>
          <w:lang w:val="en-GB"/>
        </w:rPr>
        <w:t>Educational Studies in Mathematics</w:t>
      </w:r>
      <w:r w:rsidRPr="005D6196">
        <w:rPr>
          <w:rFonts w:ascii="Times New Roman" w:hAnsi="Times New Roman"/>
          <w:sz w:val="24"/>
          <w:szCs w:val="24"/>
          <w:lang w:val="en-GB"/>
        </w:rPr>
        <w:t>.</w:t>
      </w:r>
      <w:proofErr w:type="gramEnd"/>
      <w:r w:rsidRPr="005D6196">
        <w:rPr>
          <w:rFonts w:ascii="Times New Roman" w:hAnsi="Times New Roman"/>
          <w:sz w:val="24"/>
          <w:szCs w:val="24"/>
          <w:lang w:val="en-GB"/>
        </w:rPr>
        <w:t xml:space="preserve"> </w:t>
      </w:r>
      <w:proofErr w:type="gramStart"/>
      <w:r w:rsidRPr="005D6196">
        <w:rPr>
          <w:rFonts w:ascii="Times New Roman" w:hAnsi="Times New Roman"/>
          <w:sz w:val="24"/>
          <w:szCs w:val="24"/>
          <w:lang w:val="en-GB"/>
        </w:rPr>
        <w:t>31(4).</w:t>
      </w:r>
      <w:proofErr w:type="gramEnd"/>
      <w:r w:rsidRPr="005D6196">
        <w:rPr>
          <w:rFonts w:ascii="Times New Roman" w:hAnsi="Times New Roman"/>
          <w:sz w:val="24"/>
          <w:szCs w:val="24"/>
          <w:lang w:val="en-GB"/>
        </w:rPr>
        <w:t xml:space="preserve"> </w:t>
      </w:r>
      <w:proofErr w:type="gramStart"/>
      <w:r w:rsidRPr="005D6196">
        <w:rPr>
          <w:rFonts w:ascii="Times New Roman" w:hAnsi="Times New Roman"/>
          <w:sz w:val="24"/>
          <w:szCs w:val="24"/>
          <w:lang w:val="en-GB"/>
        </w:rPr>
        <w:t>389-415.</w:t>
      </w:r>
      <w:proofErr w:type="gramEnd"/>
    </w:p>
    <w:p w:rsidR="00FA48BA" w:rsidRPr="005D6196" w:rsidRDefault="00FA48BA" w:rsidP="005D6196">
      <w:pPr>
        <w:pStyle w:val="References"/>
        <w:spacing w:after="0" w:line="240" w:lineRule="auto"/>
        <w:ind w:left="720" w:hanging="720"/>
        <w:jc w:val="both"/>
        <w:rPr>
          <w:rFonts w:ascii="Times New Roman" w:hAnsi="Times New Roman"/>
          <w:sz w:val="24"/>
          <w:szCs w:val="24"/>
          <w:lang w:val="en-GB"/>
        </w:rPr>
      </w:pPr>
      <w:bookmarkStart w:id="5" w:name="OLE_LINK1"/>
      <w:r w:rsidRPr="005D6196">
        <w:rPr>
          <w:rFonts w:ascii="Times New Roman" w:hAnsi="Times New Roman"/>
          <w:sz w:val="24"/>
          <w:szCs w:val="24"/>
          <w:lang w:val="en-GB"/>
        </w:rPr>
        <w:t xml:space="preserve">Dowling, P.C. (1998). </w:t>
      </w:r>
      <w:r w:rsidRPr="005D6196">
        <w:rPr>
          <w:rFonts w:ascii="Times New Roman" w:hAnsi="Times New Roman"/>
          <w:i/>
          <w:sz w:val="24"/>
          <w:szCs w:val="24"/>
          <w:lang w:val="en-GB"/>
        </w:rPr>
        <w:t>The sociology of mathematics education: Mathematical myths/pedagogic texts</w:t>
      </w:r>
      <w:r w:rsidRPr="005D6196">
        <w:rPr>
          <w:rFonts w:ascii="Times New Roman" w:hAnsi="Times New Roman"/>
          <w:sz w:val="24"/>
          <w:szCs w:val="24"/>
          <w:lang w:val="en-GB"/>
        </w:rPr>
        <w:t>. London: Falmer Press.</w:t>
      </w:r>
      <w:bookmarkEnd w:id="5"/>
    </w:p>
    <w:p w:rsidR="00FA48BA" w:rsidRPr="005D6196" w:rsidRDefault="00FA48BA" w:rsidP="005D6196">
      <w:pPr>
        <w:pStyle w:val="References"/>
        <w:spacing w:after="0" w:line="240" w:lineRule="auto"/>
        <w:ind w:left="720" w:hanging="720"/>
        <w:jc w:val="both"/>
        <w:rPr>
          <w:rFonts w:ascii="Times New Roman" w:hAnsi="Times New Roman"/>
          <w:sz w:val="24"/>
          <w:szCs w:val="24"/>
          <w:lang w:val="en-GB"/>
        </w:rPr>
      </w:pPr>
      <w:r w:rsidRPr="005D6196">
        <w:rPr>
          <w:rFonts w:ascii="Times New Roman" w:hAnsi="Times New Roman"/>
          <w:sz w:val="24"/>
          <w:szCs w:val="24"/>
          <w:lang w:val="en-GB"/>
        </w:rPr>
        <w:t xml:space="preserve">Dowling, P. C. (2007). Quixote’s science: Public heresy/private apostasy. In B. Atweh, A. C. Barton, M. C. Borba, N. Gough, C. Keitel, C. </w:t>
      </w:r>
      <w:proofErr w:type="spellStart"/>
      <w:r w:rsidRPr="005D6196">
        <w:rPr>
          <w:rFonts w:ascii="Times New Roman" w:hAnsi="Times New Roman"/>
          <w:sz w:val="24"/>
          <w:szCs w:val="24"/>
          <w:lang w:val="en-GB"/>
        </w:rPr>
        <w:t>Vistro</w:t>
      </w:r>
      <w:proofErr w:type="spellEnd"/>
      <w:r w:rsidRPr="005D6196">
        <w:rPr>
          <w:rFonts w:ascii="Times New Roman" w:hAnsi="Times New Roman"/>
          <w:sz w:val="24"/>
          <w:szCs w:val="24"/>
          <w:lang w:val="en-GB"/>
        </w:rPr>
        <w:t xml:space="preserve">-Yu, &amp; R. </w:t>
      </w:r>
      <w:proofErr w:type="spellStart"/>
      <w:r w:rsidRPr="005D6196">
        <w:rPr>
          <w:rFonts w:ascii="Times New Roman" w:hAnsi="Times New Roman"/>
          <w:sz w:val="24"/>
          <w:szCs w:val="24"/>
          <w:lang w:val="en-GB"/>
        </w:rPr>
        <w:t>Vithal</w:t>
      </w:r>
      <w:proofErr w:type="spellEnd"/>
      <w:r w:rsidRPr="005D6196">
        <w:rPr>
          <w:rFonts w:ascii="Times New Roman" w:hAnsi="Times New Roman"/>
          <w:sz w:val="24"/>
          <w:szCs w:val="24"/>
          <w:lang w:val="en-GB"/>
        </w:rPr>
        <w:t xml:space="preserve"> (Eds.), </w:t>
      </w:r>
      <w:r w:rsidRPr="005D6196">
        <w:rPr>
          <w:rFonts w:ascii="Times New Roman" w:hAnsi="Times New Roman"/>
          <w:i/>
          <w:sz w:val="24"/>
          <w:szCs w:val="24"/>
          <w:lang w:val="en-GB"/>
        </w:rPr>
        <w:t xml:space="preserve">Internationalisation and globalisation in mathematics and science education </w:t>
      </w:r>
      <w:r w:rsidRPr="005D6196">
        <w:rPr>
          <w:rFonts w:ascii="Times New Roman" w:hAnsi="Times New Roman"/>
          <w:iCs/>
          <w:sz w:val="24"/>
          <w:szCs w:val="24"/>
          <w:lang w:val="en-GB"/>
        </w:rPr>
        <w:t>(pp. 173-198)</w:t>
      </w:r>
      <w:r w:rsidRPr="005D6196">
        <w:rPr>
          <w:rFonts w:ascii="Times New Roman" w:hAnsi="Times New Roman"/>
          <w:sz w:val="24"/>
          <w:szCs w:val="24"/>
          <w:lang w:val="en-GB"/>
        </w:rPr>
        <w:t xml:space="preserve">. Dordrecht. </w:t>
      </w:r>
      <w:proofErr w:type="gramStart"/>
      <w:r w:rsidRPr="005D6196">
        <w:rPr>
          <w:rFonts w:ascii="Times New Roman" w:hAnsi="Times New Roman"/>
          <w:sz w:val="24"/>
          <w:szCs w:val="24"/>
          <w:lang w:val="en-GB"/>
        </w:rPr>
        <w:t>Springer.</w:t>
      </w:r>
      <w:proofErr w:type="gramEnd"/>
    </w:p>
    <w:p w:rsidR="00FA48BA" w:rsidRPr="005D6196" w:rsidRDefault="00FA48BA" w:rsidP="005D6196">
      <w:pPr>
        <w:pStyle w:val="References"/>
        <w:spacing w:after="0" w:line="240" w:lineRule="auto"/>
        <w:ind w:left="720" w:hanging="720"/>
        <w:jc w:val="both"/>
        <w:rPr>
          <w:rFonts w:ascii="Times New Roman" w:hAnsi="Times New Roman"/>
          <w:sz w:val="24"/>
          <w:szCs w:val="24"/>
          <w:lang w:val="en-GB"/>
        </w:rPr>
      </w:pPr>
      <w:r w:rsidRPr="005D6196">
        <w:rPr>
          <w:rFonts w:ascii="Times New Roman" w:hAnsi="Times New Roman"/>
          <w:sz w:val="24"/>
          <w:szCs w:val="24"/>
          <w:lang w:val="en-GB"/>
        </w:rPr>
        <w:t xml:space="preserve">Dowling, P. C. (2009). </w:t>
      </w:r>
      <w:r w:rsidRPr="005D6196">
        <w:rPr>
          <w:rFonts w:ascii="Times New Roman" w:hAnsi="Times New Roman"/>
          <w:i/>
          <w:sz w:val="24"/>
          <w:szCs w:val="24"/>
          <w:lang w:val="en-GB"/>
        </w:rPr>
        <w:t>Sociology as method: Departures from the forensics of culture, text and knowledge</w:t>
      </w:r>
      <w:r w:rsidRPr="005D6196">
        <w:rPr>
          <w:rFonts w:ascii="Times New Roman" w:hAnsi="Times New Roman"/>
          <w:sz w:val="24"/>
          <w:szCs w:val="24"/>
          <w:lang w:val="en-GB"/>
        </w:rPr>
        <w:t xml:space="preserve">.  Rotterdam, </w:t>
      </w:r>
      <w:proofErr w:type="gramStart"/>
      <w:r w:rsidRPr="005D6196">
        <w:rPr>
          <w:rFonts w:ascii="Times New Roman" w:hAnsi="Times New Roman"/>
          <w:sz w:val="24"/>
          <w:szCs w:val="24"/>
          <w:lang w:val="en-GB"/>
        </w:rPr>
        <w:t>The</w:t>
      </w:r>
      <w:proofErr w:type="gramEnd"/>
      <w:r w:rsidRPr="005D6196">
        <w:rPr>
          <w:rFonts w:ascii="Times New Roman" w:hAnsi="Times New Roman"/>
          <w:sz w:val="24"/>
          <w:szCs w:val="24"/>
          <w:lang w:val="en-GB"/>
        </w:rPr>
        <w:t xml:space="preserve"> Netherlands: Sense Publishers.</w:t>
      </w:r>
    </w:p>
    <w:p w:rsidR="004E540D" w:rsidRPr="005D6196" w:rsidRDefault="004E540D" w:rsidP="005D6196">
      <w:pPr>
        <w:pStyle w:val="References"/>
        <w:spacing w:after="0" w:line="240" w:lineRule="auto"/>
        <w:ind w:left="720" w:hanging="720"/>
        <w:jc w:val="both"/>
        <w:rPr>
          <w:rFonts w:ascii="Times New Roman" w:hAnsi="Times New Roman"/>
          <w:sz w:val="24"/>
          <w:szCs w:val="24"/>
          <w:lang w:val="en-GB"/>
        </w:rPr>
      </w:pPr>
      <w:r w:rsidRPr="005D6196">
        <w:rPr>
          <w:rFonts w:ascii="Times New Roman" w:hAnsi="Times New Roman"/>
          <w:sz w:val="24"/>
          <w:szCs w:val="24"/>
          <w:lang w:val="en-GB"/>
        </w:rPr>
        <w:t xml:space="preserve">Dowling, P.C. (in press). </w:t>
      </w:r>
      <w:proofErr w:type="gramStart"/>
      <w:r w:rsidRPr="005D6196">
        <w:rPr>
          <w:rFonts w:ascii="Times New Roman" w:hAnsi="Times New Roman"/>
          <w:sz w:val="24"/>
          <w:szCs w:val="24"/>
          <w:lang w:val="en-GB"/>
        </w:rPr>
        <w:t>‘Being Barney Glaser.’</w:t>
      </w:r>
      <w:proofErr w:type="gramEnd"/>
      <w:r w:rsidRPr="005D6196">
        <w:rPr>
          <w:rFonts w:ascii="Times New Roman" w:hAnsi="Times New Roman"/>
          <w:sz w:val="24"/>
          <w:szCs w:val="24"/>
          <w:lang w:val="en-GB"/>
        </w:rPr>
        <w:t xml:space="preserve"> </w:t>
      </w:r>
      <w:proofErr w:type="gramStart"/>
      <w:r w:rsidRPr="005D6196">
        <w:rPr>
          <w:rFonts w:ascii="Times New Roman" w:hAnsi="Times New Roman"/>
          <w:i/>
          <w:sz w:val="24"/>
          <w:szCs w:val="24"/>
          <w:lang w:val="en-GB"/>
        </w:rPr>
        <w:t>Grounded Theory Review</w:t>
      </w:r>
      <w:r w:rsidRPr="005D6196">
        <w:rPr>
          <w:rFonts w:ascii="Times New Roman" w:hAnsi="Times New Roman"/>
          <w:sz w:val="24"/>
          <w:szCs w:val="24"/>
          <w:lang w:val="en-GB"/>
        </w:rPr>
        <w:t>.</w:t>
      </w:r>
      <w:proofErr w:type="gramEnd"/>
      <w:r w:rsidRPr="005D6196">
        <w:rPr>
          <w:rFonts w:ascii="Times New Roman" w:hAnsi="Times New Roman"/>
          <w:sz w:val="24"/>
          <w:szCs w:val="24"/>
          <w:lang w:val="en-GB"/>
        </w:rPr>
        <w:t xml:space="preserve"> </w:t>
      </w:r>
    </w:p>
    <w:p w:rsidR="00210BE6" w:rsidRPr="005D6196" w:rsidRDefault="00FA48BA" w:rsidP="005D6196">
      <w:pPr>
        <w:ind w:left="720" w:hanging="720"/>
        <w:rPr>
          <w:rFonts w:cs="Times New Roman"/>
        </w:rPr>
      </w:pPr>
      <w:proofErr w:type="gramStart"/>
      <w:r w:rsidRPr="005D6196">
        <w:rPr>
          <w:rFonts w:cs="Times New Roman"/>
        </w:rPr>
        <w:t xml:space="preserve">Dowling, P.C. &amp; Brown, </w:t>
      </w:r>
      <w:proofErr w:type="spellStart"/>
      <w:r w:rsidRPr="005D6196">
        <w:rPr>
          <w:rFonts w:cs="Times New Roman"/>
        </w:rPr>
        <w:t>A.J.</w:t>
      </w:r>
      <w:proofErr w:type="spellEnd"/>
      <w:r w:rsidRPr="005D6196">
        <w:rPr>
          <w:rFonts w:cs="Times New Roman"/>
        </w:rPr>
        <w:t xml:space="preserve"> (2010).</w:t>
      </w:r>
      <w:proofErr w:type="gramEnd"/>
      <w:r w:rsidRPr="005D6196">
        <w:rPr>
          <w:rFonts w:cs="Times New Roman"/>
        </w:rPr>
        <w:t xml:space="preserve"> </w:t>
      </w:r>
      <w:r w:rsidRPr="005D6196">
        <w:rPr>
          <w:rFonts w:cs="Times New Roman"/>
          <w:i/>
        </w:rPr>
        <w:t>Doing Research/Reading Research: Re-interrogating education</w:t>
      </w:r>
      <w:r w:rsidRPr="005D6196">
        <w:rPr>
          <w:rFonts w:cs="Times New Roman"/>
        </w:rPr>
        <w:t xml:space="preserve">. London. </w:t>
      </w:r>
      <w:proofErr w:type="gramStart"/>
      <w:r w:rsidRPr="005D6196">
        <w:rPr>
          <w:rFonts w:cs="Times New Roman"/>
        </w:rPr>
        <w:t>Routledge.</w:t>
      </w:r>
      <w:proofErr w:type="gramEnd"/>
    </w:p>
    <w:p w:rsidR="004244A1" w:rsidRPr="005D6196" w:rsidRDefault="00FA48BA" w:rsidP="005D6196">
      <w:pPr>
        <w:ind w:left="720" w:hanging="720"/>
        <w:rPr>
          <w:rFonts w:cs="Times New Roman"/>
        </w:rPr>
      </w:pPr>
      <w:proofErr w:type="gramStart"/>
      <w:r w:rsidRPr="005D6196">
        <w:rPr>
          <w:rFonts w:cs="Times New Roman"/>
        </w:rPr>
        <w:t>Dowling, P.C. &amp; Burke, J. (2012).</w:t>
      </w:r>
      <w:proofErr w:type="gramEnd"/>
      <w:r w:rsidRPr="005D6196">
        <w:rPr>
          <w:rFonts w:cs="Times New Roman"/>
        </w:rPr>
        <w:t xml:space="preserve"> </w:t>
      </w:r>
      <w:r w:rsidR="004244A1" w:rsidRPr="005D6196">
        <w:rPr>
          <w:rFonts w:cs="Times New Roman"/>
        </w:rPr>
        <w:t xml:space="preserve">‘Shall we do politics or learn some maths today? Representing and interrogating social inequality.’ </w:t>
      </w:r>
      <w:proofErr w:type="gramStart"/>
      <w:r w:rsidR="004244A1" w:rsidRPr="005D6196">
        <w:rPr>
          <w:rFonts w:cs="Times New Roman"/>
        </w:rPr>
        <w:t>In H. Forgasz &amp; F. Rivera (</w:t>
      </w:r>
      <w:proofErr w:type="spellStart"/>
      <w:r w:rsidR="004244A1" w:rsidRPr="005D6196">
        <w:rPr>
          <w:rFonts w:cs="Times New Roman"/>
        </w:rPr>
        <w:t>Eds</w:t>
      </w:r>
      <w:proofErr w:type="spellEnd"/>
      <w:r w:rsidR="004244A1" w:rsidRPr="005D6196">
        <w:rPr>
          <w:rFonts w:cs="Times New Roman"/>
        </w:rPr>
        <w:t>).</w:t>
      </w:r>
      <w:proofErr w:type="gramEnd"/>
      <w:r w:rsidR="004244A1" w:rsidRPr="005D6196">
        <w:rPr>
          <w:rFonts w:cs="Times New Roman"/>
        </w:rPr>
        <w:t xml:space="preserve"> </w:t>
      </w:r>
      <w:r w:rsidR="004244A1" w:rsidRPr="005D6196">
        <w:rPr>
          <w:rFonts w:cs="Times New Roman"/>
          <w:i/>
        </w:rPr>
        <w:t>Towards Equity in Mathematics Education: gender, culture, and diversity.</w:t>
      </w:r>
      <w:r w:rsidR="004244A1" w:rsidRPr="005D6196">
        <w:rPr>
          <w:rFonts w:cs="Times New Roman"/>
        </w:rPr>
        <w:t xml:space="preserve"> Heidelberg. </w:t>
      </w:r>
      <w:proofErr w:type="gramStart"/>
      <w:r w:rsidR="004244A1" w:rsidRPr="005D6196">
        <w:rPr>
          <w:rFonts w:cs="Times New Roman"/>
        </w:rPr>
        <w:t>Springer.</w:t>
      </w:r>
      <w:proofErr w:type="gramEnd"/>
      <w:r w:rsidR="004244A1" w:rsidRPr="005D6196">
        <w:rPr>
          <w:rFonts w:cs="Times New Roman"/>
        </w:rPr>
        <w:t xml:space="preserve"> </w:t>
      </w:r>
      <w:proofErr w:type="gramStart"/>
      <w:r w:rsidR="004244A1" w:rsidRPr="005D6196">
        <w:rPr>
          <w:rFonts w:cs="Times New Roman"/>
        </w:rPr>
        <w:t>87-104.</w:t>
      </w:r>
      <w:proofErr w:type="gramEnd"/>
    </w:p>
    <w:p w:rsidR="00445851" w:rsidRPr="005D6196" w:rsidRDefault="00445851" w:rsidP="005D6196">
      <w:pPr>
        <w:widowControl w:val="0"/>
        <w:autoSpaceDE w:val="0"/>
        <w:autoSpaceDN w:val="0"/>
        <w:adjustRightInd w:val="0"/>
        <w:ind w:left="720" w:hanging="720"/>
        <w:rPr>
          <w:rFonts w:cs="Times New Roman"/>
        </w:rPr>
      </w:pPr>
      <w:proofErr w:type="gramStart"/>
      <w:r w:rsidRPr="005D6196">
        <w:rPr>
          <w:rFonts w:cs="Times New Roman"/>
        </w:rPr>
        <w:lastRenderedPageBreak/>
        <w:t>Duval, R. (2006).</w:t>
      </w:r>
      <w:proofErr w:type="gramEnd"/>
      <w:r w:rsidRPr="005D6196">
        <w:rPr>
          <w:rFonts w:cs="Times New Roman"/>
        </w:rPr>
        <w:t xml:space="preserve"> </w:t>
      </w:r>
      <w:proofErr w:type="gramStart"/>
      <w:r w:rsidRPr="005D6196">
        <w:rPr>
          <w:rFonts w:cs="Times New Roman"/>
        </w:rPr>
        <w:t>‘A Cognitive Analysis of Problems of Comprehension in a Learning of Mathematics.’</w:t>
      </w:r>
      <w:proofErr w:type="gramEnd"/>
      <w:r w:rsidRPr="005D6196">
        <w:rPr>
          <w:rFonts w:cs="Times New Roman"/>
        </w:rPr>
        <w:t xml:space="preserve"> </w:t>
      </w:r>
      <w:proofErr w:type="gramStart"/>
      <w:r w:rsidRPr="005D6196">
        <w:rPr>
          <w:rFonts w:cs="Times New Roman"/>
          <w:i/>
        </w:rPr>
        <w:t>Educational Studies in Mathematics</w:t>
      </w:r>
      <w:r w:rsidR="003A6292" w:rsidRPr="005D6196">
        <w:rPr>
          <w:rFonts w:cs="Times New Roman"/>
        </w:rPr>
        <w:t>.</w:t>
      </w:r>
      <w:proofErr w:type="gramEnd"/>
      <w:r w:rsidR="003A6292" w:rsidRPr="005D6196">
        <w:rPr>
          <w:rFonts w:cs="Times New Roman"/>
        </w:rPr>
        <w:t xml:space="preserve"> </w:t>
      </w:r>
      <w:r w:rsidRPr="005D6196">
        <w:rPr>
          <w:rFonts w:cs="Times New Roman"/>
        </w:rPr>
        <w:t>61</w:t>
      </w:r>
      <w:r w:rsidR="003A6292" w:rsidRPr="005D6196">
        <w:rPr>
          <w:rFonts w:cs="Times New Roman"/>
        </w:rPr>
        <w:t>(1/2</w:t>
      </w:r>
      <w:r w:rsidRPr="005D6196">
        <w:rPr>
          <w:rFonts w:cs="Times New Roman"/>
        </w:rPr>
        <w:t xml:space="preserve">). </w:t>
      </w:r>
      <w:proofErr w:type="gramStart"/>
      <w:r w:rsidRPr="005D6196">
        <w:rPr>
          <w:rFonts w:cs="Times New Roman"/>
        </w:rPr>
        <w:t>103-131.</w:t>
      </w:r>
      <w:proofErr w:type="gramEnd"/>
    </w:p>
    <w:p w:rsidR="008B7E09" w:rsidRPr="005D6196" w:rsidRDefault="008B7E09" w:rsidP="005D6196">
      <w:pPr>
        <w:widowControl w:val="0"/>
        <w:autoSpaceDE w:val="0"/>
        <w:autoSpaceDN w:val="0"/>
        <w:adjustRightInd w:val="0"/>
        <w:ind w:left="720" w:hanging="720"/>
        <w:rPr>
          <w:rFonts w:cs="Times New Roman"/>
        </w:rPr>
      </w:pPr>
      <w:proofErr w:type="gramStart"/>
      <w:r w:rsidRPr="005D6196">
        <w:rPr>
          <w:rFonts w:cs="Times New Roman"/>
        </w:rPr>
        <w:t>Foucault, M. (1972).</w:t>
      </w:r>
      <w:proofErr w:type="gramEnd"/>
      <w:r w:rsidRPr="005D6196">
        <w:rPr>
          <w:rFonts w:cs="Times New Roman"/>
        </w:rPr>
        <w:t xml:space="preserve"> </w:t>
      </w:r>
      <w:proofErr w:type="gramStart"/>
      <w:r w:rsidRPr="005D6196">
        <w:rPr>
          <w:rFonts w:cs="Times New Roman"/>
          <w:i/>
        </w:rPr>
        <w:t>The Archaeology of Knowledge</w:t>
      </w:r>
      <w:r w:rsidRPr="005D6196">
        <w:rPr>
          <w:rFonts w:cs="Times New Roman"/>
        </w:rPr>
        <w:t>.</w:t>
      </w:r>
      <w:proofErr w:type="gramEnd"/>
      <w:r w:rsidRPr="005D6196">
        <w:rPr>
          <w:rFonts w:cs="Times New Roman"/>
        </w:rPr>
        <w:t xml:space="preserve"> London. </w:t>
      </w:r>
      <w:proofErr w:type="spellStart"/>
      <w:proofErr w:type="gramStart"/>
      <w:r w:rsidRPr="005D6196">
        <w:rPr>
          <w:rFonts w:cs="Times New Roman"/>
        </w:rPr>
        <w:t>Tavistock</w:t>
      </w:r>
      <w:proofErr w:type="spellEnd"/>
      <w:r w:rsidRPr="005D6196">
        <w:rPr>
          <w:rFonts w:cs="Times New Roman"/>
        </w:rPr>
        <w:t>.</w:t>
      </w:r>
      <w:proofErr w:type="gramEnd"/>
    </w:p>
    <w:p w:rsidR="0097142F" w:rsidRPr="005D6196" w:rsidRDefault="0097142F" w:rsidP="005D6196">
      <w:pPr>
        <w:widowControl w:val="0"/>
        <w:autoSpaceDE w:val="0"/>
        <w:autoSpaceDN w:val="0"/>
        <w:adjustRightInd w:val="0"/>
        <w:ind w:left="720" w:hanging="720"/>
        <w:rPr>
          <w:rFonts w:cs="Times New Roman"/>
        </w:rPr>
      </w:pPr>
      <w:r w:rsidRPr="005D6196">
        <w:rPr>
          <w:rFonts w:cs="Times New Roman"/>
        </w:rPr>
        <w:t xml:space="preserve">Geertz, C. (1988). </w:t>
      </w:r>
      <w:r w:rsidRPr="005D6196">
        <w:rPr>
          <w:rFonts w:cs="Times New Roman"/>
          <w:i/>
        </w:rPr>
        <w:t>Works and Lives: The anthropologist as author</w:t>
      </w:r>
      <w:r w:rsidRPr="005D6196">
        <w:rPr>
          <w:rFonts w:cs="Times New Roman"/>
        </w:rPr>
        <w:t xml:space="preserve">. Cambridge. </w:t>
      </w:r>
      <w:proofErr w:type="gramStart"/>
      <w:r w:rsidRPr="005D6196">
        <w:rPr>
          <w:rFonts w:cs="Times New Roman"/>
        </w:rPr>
        <w:t>Polity.</w:t>
      </w:r>
      <w:proofErr w:type="gramEnd"/>
    </w:p>
    <w:p w:rsidR="0097142F" w:rsidRPr="005D6196" w:rsidRDefault="0097142F" w:rsidP="005D6196">
      <w:pPr>
        <w:widowControl w:val="0"/>
        <w:autoSpaceDE w:val="0"/>
        <w:autoSpaceDN w:val="0"/>
        <w:adjustRightInd w:val="0"/>
        <w:ind w:left="720" w:hanging="720"/>
        <w:rPr>
          <w:rFonts w:cs="Times New Roman"/>
        </w:rPr>
      </w:pPr>
      <w:r w:rsidRPr="005D6196">
        <w:rPr>
          <w:rFonts w:cs="Times New Roman"/>
        </w:rPr>
        <w:t xml:space="preserve">Geertz, C. </w:t>
      </w:r>
      <w:r w:rsidR="005F4102" w:rsidRPr="005D6196">
        <w:rPr>
          <w:rFonts w:cs="Times New Roman"/>
        </w:rPr>
        <w:t>(1977)</w:t>
      </w:r>
      <w:r w:rsidRPr="005D6196">
        <w:rPr>
          <w:rFonts w:cs="Times New Roman"/>
        </w:rPr>
        <w:t xml:space="preserve">. </w:t>
      </w:r>
      <w:proofErr w:type="gramStart"/>
      <w:r w:rsidRPr="005D6196">
        <w:rPr>
          <w:rFonts w:cs="Times New Roman"/>
          <w:i/>
        </w:rPr>
        <w:t>The Interpretation of Cultures.</w:t>
      </w:r>
      <w:proofErr w:type="gramEnd"/>
      <w:r w:rsidRPr="005D6196">
        <w:rPr>
          <w:rFonts w:cs="Times New Roman"/>
        </w:rPr>
        <w:t xml:space="preserve"> </w:t>
      </w:r>
      <w:proofErr w:type="gramStart"/>
      <w:r w:rsidR="005F4102" w:rsidRPr="005D6196">
        <w:rPr>
          <w:rFonts w:cs="Times New Roman"/>
        </w:rPr>
        <w:t>(2000 edn).</w:t>
      </w:r>
      <w:proofErr w:type="gramEnd"/>
      <w:r w:rsidR="005F4102" w:rsidRPr="005D6196">
        <w:rPr>
          <w:rFonts w:cs="Times New Roman"/>
        </w:rPr>
        <w:t xml:space="preserve"> </w:t>
      </w:r>
      <w:r w:rsidRPr="005D6196">
        <w:rPr>
          <w:rFonts w:cs="Times New Roman"/>
        </w:rPr>
        <w:t xml:space="preserve">New York. </w:t>
      </w:r>
      <w:proofErr w:type="gramStart"/>
      <w:r w:rsidRPr="005D6196">
        <w:rPr>
          <w:rFonts w:cs="Times New Roman"/>
        </w:rPr>
        <w:t>Basic Books.</w:t>
      </w:r>
      <w:proofErr w:type="gramEnd"/>
    </w:p>
    <w:p w:rsidR="00180638" w:rsidRPr="005D6196" w:rsidRDefault="00180638" w:rsidP="005D6196">
      <w:pPr>
        <w:widowControl w:val="0"/>
        <w:autoSpaceDE w:val="0"/>
        <w:autoSpaceDN w:val="0"/>
        <w:adjustRightInd w:val="0"/>
        <w:ind w:left="720" w:hanging="720"/>
        <w:rPr>
          <w:rFonts w:cs="Times New Roman"/>
        </w:rPr>
      </w:pPr>
      <w:r w:rsidRPr="005D6196">
        <w:rPr>
          <w:rFonts w:cs="Times New Roman"/>
        </w:rPr>
        <w:t>Glaser, B. (1992).</w:t>
      </w:r>
      <w:r w:rsidRPr="005D6196">
        <w:rPr>
          <w:rFonts w:cs="Times New Roman"/>
          <w:i/>
        </w:rPr>
        <w:t xml:space="preserve"> Basics of Grounded Theory Analysis: Emergence versus forcing</w:t>
      </w:r>
      <w:r w:rsidRPr="005D6196">
        <w:rPr>
          <w:rFonts w:cs="Times New Roman"/>
        </w:rPr>
        <w:t xml:space="preserve">. </w:t>
      </w:r>
      <w:proofErr w:type="gramStart"/>
      <w:r w:rsidRPr="005D6196">
        <w:rPr>
          <w:rFonts w:cs="Times New Roman"/>
        </w:rPr>
        <w:t>Mill Valley.</w:t>
      </w:r>
      <w:proofErr w:type="gramEnd"/>
      <w:r w:rsidRPr="005D6196">
        <w:rPr>
          <w:rFonts w:cs="Times New Roman"/>
        </w:rPr>
        <w:t xml:space="preserve"> </w:t>
      </w:r>
      <w:proofErr w:type="gramStart"/>
      <w:r w:rsidRPr="005D6196">
        <w:rPr>
          <w:rFonts w:cs="Times New Roman"/>
        </w:rPr>
        <w:t>Sociology Press.</w:t>
      </w:r>
      <w:proofErr w:type="gramEnd"/>
    </w:p>
    <w:p w:rsidR="00D86955" w:rsidRPr="005D6196" w:rsidRDefault="00D86955" w:rsidP="005D6196">
      <w:pPr>
        <w:ind w:left="720" w:hanging="720"/>
        <w:rPr>
          <w:rFonts w:cs="Times New Roman"/>
        </w:rPr>
      </w:pPr>
      <w:proofErr w:type="gramStart"/>
      <w:r w:rsidRPr="005D6196">
        <w:rPr>
          <w:rFonts w:cs="Times New Roman"/>
        </w:rPr>
        <w:t>G</w:t>
      </w:r>
      <w:r w:rsidR="00EF164C" w:rsidRPr="005D6196">
        <w:rPr>
          <w:rFonts w:cs="Times New Roman"/>
        </w:rPr>
        <w:t>laser</w:t>
      </w:r>
      <w:r w:rsidRPr="005D6196">
        <w:rPr>
          <w:rFonts w:cs="Times New Roman"/>
        </w:rPr>
        <w:t>, B. &amp; S</w:t>
      </w:r>
      <w:r w:rsidR="00EF164C" w:rsidRPr="005D6196">
        <w:rPr>
          <w:rFonts w:cs="Times New Roman"/>
        </w:rPr>
        <w:t>trauss</w:t>
      </w:r>
      <w:r w:rsidRPr="005D6196">
        <w:rPr>
          <w:rFonts w:cs="Times New Roman"/>
        </w:rPr>
        <w:t>, A. (1965).</w:t>
      </w:r>
      <w:proofErr w:type="gramEnd"/>
      <w:r w:rsidRPr="005D6196">
        <w:rPr>
          <w:rFonts w:cs="Times New Roman"/>
        </w:rPr>
        <w:t xml:space="preserve"> </w:t>
      </w:r>
      <w:proofErr w:type="gramStart"/>
      <w:r w:rsidRPr="005D6196">
        <w:rPr>
          <w:rFonts w:cs="Times New Roman"/>
          <w:i/>
        </w:rPr>
        <w:t>Awareness of Dying</w:t>
      </w:r>
      <w:r w:rsidRPr="005D6196">
        <w:rPr>
          <w:rFonts w:cs="Times New Roman"/>
        </w:rPr>
        <w:t>.</w:t>
      </w:r>
      <w:proofErr w:type="gramEnd"/>
      <w:r w:rsidRPr="005D6196">
        <w:rPr>
          <w:rFonts w:cs="Times New Roman"/>
        </w:rPr>
        <w:t xml:space="preserve"> Chicago </w:t>
      </w:r>
      <w:proofErr w:type="spellStart"/>
      <w:r w:rsidRPr="005D6196">
        <w:rPr>
          <w:rFonts w:cs="Times New Roman"/>
        </w:rPr>
        <w:t>IL</w:t>
      </w:r>
      <w:proofErr w:type="spellEnd"/>
      <w:r w:rsidRPr="005D6196">
        <w:rPr>
          <w:rFonts w:cs="Times New Roman"/>
        </w:rPr>
        <w:t>. Aldine Publishing.</w:t>
      </w:r>
    </w:p>
    <w:p w:rsidR="00180638" w:rsidRPr="005D6196" w:rsidRDefault="00180638" w:rsidP="005D6196">
      <w:pPr>
        <w:ind w:left="720" w:hanging="720"/>
        <w:rPr>
          <w:rFonts w:cs="Times New Roman"/>
        </w:rPr>
      </w:pPr>
      <w:proofErr w:type="gramStart"/>
      <w:r w:rsidRPr="005D6196">
        <w:rPr>
          <w:rFonts w:cs="Times New Roman"/>
        </w:rPr>
        <w:t>Glaser, B. &amp; Strauss, A. (1967).</w:t>
      </w:r>
      <w:proofErr w:type="gramEnd"/>
      <w:r w:rsidRPr="005D6196">
        <w:rPr>
          <w:rFonts w:cs="Times New Roman"/>
        </w:rPr>
        <w:t xml:space="preserve"> </w:t>
      </w:r>
      <w:r w:rsidRPr="005D6196">
        <w:rPr>
          <w:rFonts w:cs="Times New Roman"/>
          <w:i/>
        </w:rPr>
        <w:t>The Discovery of Grounded Theory: Strategies for qualitative research.</w:t>
      </w:r>
      <w:r w:rsidRPr="005D6196">
        <w:rPr>
          <w:rFonts w:cs="Times New Roman"/>
        </w:rPr>
        <w:t xml:space="preserve"> New York. Aldine Publishing Company.</w:t>
      </w:r>
    </w:p>
    <w:p w:rsidR="00664691" w:rsidRPr="005D6196" w:rsidRDefault="00664691" w:rsidP="005D6196">
      <w:pPr>
        <w:widowControl w:val="0"/>
        <w:autoSpaceDE w:val="0"/>
        <w:autoSpaceDN w:val="0"/>
        <w:adjustRightInd w:val="0"/>
        <w:ind w:left="720" w:hanging="720"/>
        <w:rPr>
          <w:rFonts w:cs="Times New Roman"/>
        </w:rPr>
      </w:pPr>
      <w:r w:rsidRPr="005D6196">
        <w:rPr>
          <w:rFonts w:cs="Times New Roman"/>
        </w:rPr>
        <w:t xml:space="preserve">Knorr Cetina, K. (1999). </w:t>
      </w:r>
      <w:r w:rsidRPr="005D6196">
        <w:rPr>
          <w:rFonts w:cs="Times New Roman"/>
          <w:i/>
          <w:u w:val="single"/>
        </w:rPr>
        <w:t>Epistemic Cultures: How the sciences make knowledge</w:t>
      </w:r>
      <w:r w:rsidRPr="005D6196">
        <w:rPr>
          <w:rFonts w:cs="Times New Roman"/>
        </w:rPr>
        <w:t xml:space="preserve">. </w:t>
      </w:r>
      <w:proofErr w:type="gramStart"/>
      <w:r w:rsidRPr="005D6196">
        <w:rPr>
          <w:rFonts w:cs="Times New Roman"/>
        </w:rPr>
        <w:t>Cambridge, Mass., Harvard University Press.</w:t>
      </w:r>
      <w:proofErr w:type="gramEnd"/>
    </w:p>
    <w:p w:rsidR="000450FB" w:rsidRPr="005D6196" w:rsidRDefault="000450FB" w:rsidP="005D6196">
      <w:pPr>
        <w:widowControl w:val="0"/>
        <w:autoSpaceDE w:val="0"/>
        <w:autoSpaceDN w:val="0"/>
        <w:adjustRightInd w:val="0"/>
        <w:ind w:left="720" w:hanging="720"/>
        <w:rPr>
          <w:rFonts w:cs="Times New Roman"/>
        </w:rPr>
      </w:pPr>
      <w:r w:rsidRPr="005D6196">
        <w:rPr>
          <w:rFonts w:cs="Times New Roman"/>
        </w:rPr>
        <w:t xml:space="preserve">Kress, G. (2003). </w:t>
      </w:r>
      <w:proofErr w:type="gramStart"/>
      <w:r w:rsidRPr="005D6196">
        <w:rPr>
          <w:rFonts w:cs="Times New Roman"/>
          <w:i/>
        </w:rPr>
        <w:t>Literacy in the New Media Age</w:t>
      </w:r>
      <w:r w:rsidRPr="005D6196">
        <w:rPr>
          <w:rFonts w:cs="Times New Roman"/>
        </w:rPr>
        <w:t>.</w:t>
      </w:r>
      <w:proofErr w:type="gramEnd"/>
      <w:r w:rsidRPr="005D6196">
        <w:rPr>
          <w:rFonts w:cs="Times New Roman"/>
        </w:rPr>
        <w:t xml:space="preserve"> London. </w:t>
      </w:r>
      <w:proofErr w:type="spellStart"/>
      <w:proofErr w:type="gramStart"/>
      <w:r w:rsidRPr="005D6196">
        <w:rPr>
          <w:rFonts w:cs="Times New Roman"/>
        </w:rPr>
        <w:t>Routlege</w:t>
      </w:r>
      <w:proofErr w:type="spellEnd"/>
      <w:r w:rsidRPr="005D6196">
        <w:rPr>
          <w:rFonts w:cs="Times New Roman"/>
        </w:rPr>
        <w:t>.</w:t>
      </w:r>
      <w:proofErr w:type="gramEnd"/>
    </w:p>
    <w:p w:rsidR="00B31C81" w:rsidRPr="005D6196" w:rsidRDefault="00B31C81" w:rsidP="005D6196">
      <w:pPr>
        <w:widowControl w:val="0"/>
        <w:autoSpaceDE w:val="0"/>
        <w:autoSpaceDN w:val="0"/>
        <w:adjustRightInd w:val="0"/>
        <w:ind w:left="720" w:hanging="720"/>
        <w:rPr>
          <w:rFonts w:cs="Times New Roman"/>
        </w:rPr>
      </w:pPr>
      <w:proofErr w:type="gramStart"/>
      <w:r w:rsidRPr="005D6196">
        <w:rPr>
          <w:rFonts w:cs="Times New Roman"/>
        </w:rPr>
        <w:t>Latour, B. and S. Woolgar (1979).</w:t>
      </w:r>
      <w:proofErr w:type="gramEnd"/>
      <w:r w:rsidRPr="005D6196">
        <w:rPr>
          <w:rFonts w:cs="Times New Roman"/>
          <w:i/>
        </w:rPr>
        <w:t xml:space="preserve"> Laboratory Life: The social construction of scientific facts</w:t>
      </w:r>
      <w:r w:rsidRPr="005D6196">
        <w:rPr>
          <w:rFonts w:cs="Times New Roman"/>
        </w:rPr>
        <w:t xml:space="preserve">. Beverly Hills. </w:t>
      </w:r>
      <w:proofErr w:type="gramStart"/>
      <w:r w:rsidRPr="005D6196">
        <w:rPr>
          <w:rFonts w:cs="Times New Roman"/>
        </w:rPr>
        <w:t>Sage.</w:t>
      </w:r>
      <w:proofErr w:type="gramEnd"/>
    </w:p>
    <w:p w:rsidR="006132EE" w:rsidRPr="005D6196" w:rsidRDefault="00510BFB" w:rsidP="005D6196">
      <w:pPr>
        <w:widowControl w:val="0"/>
        <w:autoSpaceDE w:val="0"/>
        <w:autoSpaceDN w:val="0"/>
        <w:adjustRightInd w:val="0"/>
        <w:ind w:left="720" w:hanging="720"/>
        <w:jc w:val="left"/>
        <w:rPr>
          <w:rFonts w:cs="Times New Roman"/>
        </w:rPr>
      </w:pPr>
      <w:r w:rsidRPr="005D6196">
        <w:rPr>
          <w:rFonts w:cs="Times New Roman"/>
          <w:color w:val="101010"/>
        </w:rPr>
        <w:t xml:space="preserve">Lave, J., </w:t>
      </w:r>
      <w:proofErr w:type="spellStart"/>
      <w:r w:rsidRPr="005D6196">
        <w:rPr>
          <w:rFonts w:cs="Times New Roman"/>
          <w:color w:val="101010"/>
        </w:rPr>
        <w:t>Murtaugh</w:t>
      </w:r>
      <w:proofErr w:type="spellEnd"/>
      <w:r w:rsidRPr="005D6196">
        <w:rPr>
          <w:rFonts w:cs="Times New Roman"/>
          <w:color w:val="101010"/>
        </w:rPr>
        <w:t xml:space="preserve">, M., &amp; de la Rocha, O. (1984). </w:t>
      </w:r>
      <w:proofErr w:type="gramStart"/>
      <w:r w:rsidRPr="005D6196">
        <w:rPr>
          <w:rFonts w:cs="Times New Roman"/>
          <w:color w:val="101010"/>
        </w:rPr>
        <w:t>The dialectic of arithmetic in grocery shopping.</w:t>
      </w:r>
      <w:proofErr w:type="gramEnd"/>
      <w:r w:rsidRPr="005D6196">
        <w:rPr>
          <w:rFonts w:cs="Times New Roman"/>
          <w:color w:val="101010"/>
        </w:rPr>
        <w:t xml:space="preserve"> In B.</w:t>
      </w:r>
      <w:r w:rsidRPr="005D6196">
        <w:rPr>
          <w:rFonts w:cs="Times New Roman"/>
        </w:rPr>
        <w:t xml:space="preserve"> </w:t>
      </w:r>
      <w:r w:rsidRPr="005D6196">
        <w:rPr>
          <w:rFonts w:cs="Times New Roman"/>
          <w:color w:val="101010"/>
        </w:rPr>
        <w:t xml:space="preserve">Rogoff &amp; J. Lave (Eds.), </w:t>
      </w:r>
      <w:r w:rsidRPr="005D6196">
        <w:rPr>
          <w:rFonts w:cs="Times New Roman"/>
          <w:i/>
          <w:color w:val="101010"/>
        </w:rPr>
        <w:t>Everyday cognition: its development in social context</w:t>
      </w:r>
      <w:r w:rsidRPr="005D6196">
        <w:rPr>
          <w:rFonts w:cs="Times New Roman"/>
          <w:color w:val="101010"/>
        </w:rPr>
        <w:t>. Cambridge: Harvard</w:t>
      </w:r>
      <w:r w:rsidRPr="005D6196">
        <w:rPr>
          <w:rFonts w:cs="Times New Roman"/>
        </w:rPr>
        <w:t xml:space="preserve"> </w:t>
      </w:r>
      <w:r w:rsidRPr="005D6196">
        <w:rPr>
          <w:rFonts w:cs="Times New Roman"/>
          <w:color w:val="101010"/>
        </w:rPr>
        <w:t>University Press</w:t>
      </w:r>
      <w:r w:rsidR="006132EE" w:rsidRPr="005D6196">
        <w:rPr>
          <w:rFonts w:cs="Times New Roman"/>
        </w:rPr>
        <w:tab/>
      </w:r>
    </w:p>
    <w:p w:rsidR="00D6334A" w:rsidRPr="005D6196" w:rsidRDefault="00D6334A" w:rsidP="005D6196">
      <w:pPr>
        <w:widowControl w:val="0"/>
        <w:autoSpaceDE w:val="0"/>
        <w:autoSpaceDN w:val="0"/>
        <w:adjustRightInd w:val="0"/>
        <w:ind w:left="720" w:hanging="720"/>
        <w:rPr>
          <w:rFonts w:cs="Times New Roman"/>
        </w:rPr>
      </w:pPr>
      <w:r w:rsidRPr="005D6196">
        <w:rPr>
          <w:rFonts w:cs="Times New Roman"/>
        </w:rPr>
        <w:t xml:space="preserve">Leavis, </w:t>
      </w:r>
      <w:proofErr w:type="spellStart"/>
      <w:r w:rsidRPr="005D6196">
        <w:rPr>
          <w:rFonts w:cs="Times New Roman"/>
        </w:rPr>
        <w:t>F.R.</w:t>
      </w:r>
      <w:proofErr w:type="spellEnd"/>
      <w:r w:rsidRPr="005D6196">
        <w:rPr>
          <w:rFonts w:cs="Times New Roman"/>
        </w:rPr>
        <w:t xml:space="preserve"> (1950). </w:t>
      </w:r>
      <w:proofErr w:type="gramStart"/>
      <w:r w:rsidRPr="005D6196">
        <w:rPr>
          <w:rFonts w:cs="Times New Roman"/>
          <w:i/>
        </w:rPr>
        <w:t>The Great Tradition</w:t>
      </w:r>
      <w:r w:rsidRPr="005D6196">
        <w:rPr>
          <w:rFonts w:cs="Times New Roman"/>
        </w:rPr>
        <w:t>.</w:t>
      </w:r>
      <w:proofErr w:type="gramEnd"/>
      <w:r w:rsidRPr="005D6196">
        <w:rPr>
          <w:rFonts w:cs="Times New Roman"/>
        </w:rPr>
        <w:t xml:space="preserve"> New York. George W. Stewart, Publisher Inc.</w:t>
      </w:r>
    </w:p>
    <w:p w:rsidR="0038652B" w:rsidRPr="005D6196" w:rsidRDefault="00EC4488" w:rsidP="005D6196">
      <w:pPr>
        <w:widowControl w:val="0"/>
        <w:autoSpaceDE w:val="0"/>
        <w:autoSpaceDN w:val="0"/>
        <w:adjustRightInd w:val="0"/>
        <w:ind w:left="720" w:hanging="720"/>
        <w:rPr>
          <w:rFonts w:cs="Times New Roman"/>
        </w:rPr>
      </w:pPr>
      <w:r w:rsidRPr="005D6196">
        <w:rPr>
          <w:rFonts w:cs="Times New Roman"/>
        </w:rPr>
        <w:t xml:space="preserve">Lévi-Strauss, C. (1972). </w:t>
      </w:r>
      <w:proofErr w:type="gramStart"/>
      <w:r w:rsidRPr="005D6196">
        <w:rPr>
          <w:rFonts w:cs="Times New Roman"/>
          <w:i/>
        </w:rPr>
        <w:t xml:space="preserve">The Savage Mind (La </w:t>
      </w:r>
      <w:proofErr w:type="spellStart"/>
      <w:r w:rsidRPr="005D6196">
        <w:rPr>
          <w:rFonts w:cs="Times New Roman"/>
          <w:i/>
        </w:rPr>
        <w:t>Pensée</w:t>
      </w:r>
      <w:proofErr w:type="spellEnd"/>
      <w:r w:rsidRPr="005D6196">
        <w:rPr>
          <w:rFonts w:cs="Times New Roman"/>
          <w:i/>
        </w:rPr>
        <w:t xml:space="preserve"> </w:t>
      </w:r>
      <w:proofErr w:type="spellStart"/>
      <w:r w:rsidRPr="005D6196">
        <w:rPr>
          <w:rFonts w:cs="Times New Roman"/>
          <w:i/>
        </w:rPr>
        <w:t>Sauvage</w:t>
      </w:r>
      <w:proofErr w:type="spellEnd"/>
      <w:r w:rsidRPr="005D6196">
        <w:rPr>
          <w:rFonts w:cs="Times New Roman"/>
          <w:i/>
        </w:rPr>
        <w:t>)</w:t>
      </w:r>
      <w:r w:rsidRPr="005D6196">
        <w:rPr>
          <w:rFonts w:cs="Times New Roman"/>
        </w:rPr>
        <w:t>.</w:t>
      </w:r>
      <w:proofErr w:type="gramEnd"/>
      <w:r w:rsidRPr="005D6196">
        <w:rPr>
          <w:rFonts w:cs="Times New Roman"/>
        </w:rPr>
        <w:t xml:space="preserve"> London. </w:t>
      </w:r>
      <w:proofErr w:type="spellStart"/>
      <w:proofErr w:type="gramStart"/>
      <w:r w:rsidRPr="005D6196">
        <w:rPr>
          <w:rFonts w:cs="Times New Roman"/>
        </w:rPr>
        <w:t>Weidenfeld</w:t>
      </w:r>
      <w:proofErr w:type="spellEnd"/>
      <w:r w:rsidRPr="005D6196">
        <w:rPr>
          <w:rFonts w:cs="Times New Roman"/>
        </w:rPr>
        <w:t xml:space="preserve"> &amp; N</w:t>
      </w:r>
      <w:r w:rsidR="0038652B" w:rsidRPr="005D6196">
        <w:rPr>
          <w:rFonts w:cs="Times New Roman"/>
        </w:rPr>
        <w:t>icholson.</w:t>
      </w:r>
      <w:proofErr w:type="gramEnd"/>
    </w:p>
    <w:p w:rsidR="00EC4488" w:rsidRPr="005D6196" w:rsidRDefault="0038652B" w:rsidP="005D6196">
      <w:pPr>
        <w:widowControl w:val="0"/>
        <w:autoSpaceDE w:val="0"/>
        <w:autoSpaceDN w:val="0"/>
        <w:adjustRightInd w:val="0"/>
        <w:ind w:left="720" w:hanging="720"/>
        <w:rPr>
          <w:rFonts w:cs="Times New Roman"/>
        </w:rPr>
      </w:pPr>
      <w:r w:rsidRPr="005D6196">
        <w:rPr>
          <w:rFonts w:cs="Times New Roman"/>
        </w:rPr>
        <w:t xml:space="preserve">Livingston, E. (1986). </w:t>
      </w:r>
      <w:proofErr w:type="gramStart"/>
      <w:r w:rsidRPr="005D6196">
        <w:rPr>
          <w:rFonts w:cs="Times New Roman"/>
          <w:i/>
        </w:rPr>
        <w:t xml:space="preserve">The </w:t>
      </w:r>
      <w:proofErr w:type="spellStart"/>
      <w:r w:rsidRPr="005D6196">
        <w:rPr>
          <w:rFonts w:cs="Times New Roman"/>
          <w:i/>
        </w:rPr>
        <w:t>Ethnomethodological</w:t>
      </w:r>
      <w:proofErr w:type="spellEnd"/>
      <w:r w:rsidRPr="005D6196">
        <w:rPr>
          <w:rFonts w:cs="Times New Roman"/>
          <w:i/>
        </w:rPr>
        <w:t xml:space="preserve"> Foundations of Mathematics</w:t>
      </w:r>
      <w:r w:rsidRPr="005D6196">
        <w:rPr>
          <w:rFonts w:cs="Times New Roman"/>
        </w:rPr>
        <w:t>.</w:t>
      </w:r>
      <w:proofErr w:type="gramEnd"/>
      <w:r w:rsidRPr="005D6196">
        <w:rPr>
          <w:rFonts w:cs="Times New Roman"/>
        </w:rPr>
        <w:t xml:space="preserve"> London, </w:t>
      </w:r>
      <w:proofErr w:type="spellStart"/>
      <w:r w:rsidRPr="005D6196">
        <w:rPr>
          <w:rFonts w:cs="Times New Roman"/>
        </w:rPr>
        <w:t>RKP</w:t>
      </w:r>
      <w:proofErr w:type="spellEnd"/>
      <w:r w:rsidRPr="005D6196">
        <w:rPr>
          <w:rFonts w:cs="Times New Roman"/>
        </w:rPr>
        <w:t>.</w:t>
      </w:r>
    </w:p>
    <w:p w:rsidR="00180638" w:rsidRPr="005D6196" w:rsidRDefault="00180638" w:rsidP="005D6196">
      <w:pPr>
        <w:widowControl w:val="0"/>
        <w:autoSpaceDE w:val="0"/>
        <w:autoSpaceDN w:val="0"/>
        <w:adjustRightInd w:val="0"/>
        <w:ind w:left="720" w:hanging="720"/>
        <w:rPr>
          <w:rFonts w:cs="Times New Roman"/>
        </w:rPr>
      </w:pPr>
      <w:proofErr w:type="gramStart"/>
      <w:r w:rsidRPr="005D6196">
        <w:rPr>
          <w:rFonts w:cs="Times New Roman"/>
        </w:rPr>
        <w:t xml:space="preserve">Martin, </w:t>
      </w:r>
      <w:proofErr w:type="spellStart"/>
      <w:r w:rsidRPr="005D6196">
        <w:rPr>
          <w:rFonts w:cs="Times New Roman"/>
        </w:rPr>
        <w:t>V.B.</w:t>
      </w:r>
      <w:proofErr w:type="spellEnd"/>
      <w:r w:rsidRPr="005D6196">
        <w:rPr>
          <w:rFonts w:cs="Times New Roman"/>
        </w:rPr>
        <w:t xml:space="preserve"> &amp; Gynnild, A. (</w:t>
      </w:r>
      <w:proofErr w:type="spellStart"/>
      <w:r w:rsidRPr="005D6196">
        <w:rPr>
          <w:rFonts w:cs="Times New Roman"/>
        </w:rPr>
        <w:t>Eds</w:t>
      </w:r>
      <w:proofErr w:type="spellEnd"/>
      <w:r w:rsidRPr="005D6196">
        <w:rPr>
          <w:rFonts w:cs="Times New Roman"/>
        </w:rPr>
        <w:t>).</w:t>
      </w:r>
      <w:proofErr w:type="gramEnd"/>
      <w:r w:rsidRPr="005D6196">
        <w:rPr>
          <w:rFonts w:cs="Times New Roman"/>
        </w:rPr>
        <w:t xml:space="preserve"> (2011). </w:t>
      </w:r>
      <w:r w:rsidRPr="005D6196">
        <w:rPr>
          <w:rFonts w:cs="Times New Roman"/>
          <w:i/>
        </w:rPr>
        <w:t>Grounded Theory: The philosophy, method and work of Barney Glaser</w:t>
      </w:r>
      <w:r w:rsidRPr="005D6196">
        <w:rPr>
          <w:rFonts w:cs="Times New Roman"/>
        </w:rPr>
        <w:t xml:space="preserve">. Boca Raton. </w:t>
      </w:r>
      <w:proofErr w:type="spellStart"/>
      <w:r w:rsidRPr="005D6196">
        <w:rPr>
          <w:rFonts w:cs="Times New Roman"/>
        </w:rPr>
        <w:t>BrownWalker</w:t>
      </w:r>
      <w:proofErr w:type="spellEnd"/>
      <w:r w:rsidRPr="005D6196">
        <w:rPr>
          <w:rFonts w:cs="Times New Roman"/>
        </w:rPr>
        <w:t xml:space="preserve"> Press.</w:t>
      </w:r>
    </w:p>
    <w:p w:rsidR="00180638" w:rsidRPr="005D6196" w:rsidRDefault="00180638" w:rsidP="005D6196">
      <w:pPr>
        <w:widowControl w:val="0"/>
        <w:autoSpaceDE w:val="0"/>
        <w:autoSpaceDN w:val="0"/>
        <w:adjustRightInd w:val="0"/>
        <w:ind w:left="720" w:hanging="720"/>
        <w:rPr>
          <w:rFonts w:cs="Times New Roman"/>
        </w:rPr>
      </w:pPr>
      <w:proofErr w:type="gramStart"/>
      <w:r w:rsidRPr="005D6196">
        <w:rPr>
          <w:rFonts w:cs="Times New Roman"/>
        </w:rPr>
        <w:t>Marx, K. (1968 Edn).</w:t>
      </w:r>
      <w:proofErr w:type="gramEnd"/>
      <w:r w:rsidRPr="005D6196">
        <w:rPr>
          <w:rFonts w:cs="Times New Roman"/>
        </w:rPr>
        <w:t xml:space="preserve"> ‘Preface to a Contribution to the Critique of Political Economy.’ </w:t>
      </w:r>
      <w:proofErr w:type="gramStart"/>
      <w:r w:rsidRPr="005D6196">
        <w:rPr>
          <w:rFonts w:cs="Times New Roman"/>
        </w:rPr>
        <w:t>In K. Marx &amp; F. Engels.</w:t>
      </w:r>
      <w:proofErr w:type="gramEnd"/>
      <w:r w:rsidRPr="005D6196">
        <w:rPr>
          <w:rFonts w:cs="Times New Roman"/>
        </w:rPr>
        <w:t xml:space="preserve"> </w:t>
      </w:r>
      <w:proofErr w:type="gramStart"/>
      <w:r w:rsidRPr="005D6196">
        <w:rPr>
          <w:rFonts w:cs="Times New Roman"/>
          <w:i/>
        </w:rPr>
        <w:t>Selected Works</w:t>
      </w:r>
      <w:r w:rsidRPr="005D6196">
        <w:rPr>
          <w:rFonts w:cs="Times New Roman"/>
        </w:rPr>
        <w:t>.</w:t>
      </w:r>
      <w:proofErr w:type="gramEnd"/>
      <w:r w:rsidRPr="005D6196">
        <w:rPr>
          <w:rFonts w:cs="Times New Roman"/>
        </w:rPr>
        <w:t xml:space="preserve"> </w:t>
      </w:r>
      <w:proofErr w:type="gramStart"/>
      <w:r w:rsidRPr="005D6196">
        <w:rPr>
          <w:rFonts w:cs="Times New Roman"/>
        </w:rPr>
        <w:t xml:space="preserve">London, Lawrence &amp; </w:t>
      </w:r>
      <w:proofErr w:type="spellStart"/>
      <w:r w:rsidRPr="005D6196">
        <w:rPr>
          <w:rFonts w:cs="Times New Roman"/>
        </w:rPr>
        <w:t>Wishart</w:t>
      </w:r>
      <w:proofErr w:type="spellEnd"/>
      <w:r w:rsidRPr="005D6196">
        <w:rPr>
          <w:rFonts w:cs="Times New Roman"/>
        </w:rPr>
        <w:t>.</w:t>
      </w:r>
      <w:proofErr w:type="gramEnd"/>
    </w:p>
    <w:p w:rsidR="0038652B" w:rsidRPr="005D6196" w:rsidRDefault="0038652B" w:rsidP="005D6196">
      <w:pPr>
        <w:widowControl w:val="0"/>
        <w:autoSpaceDE w:val="0"/>
        <w:autoSpaceDN w:val="0"/>
        <w:adjustRightInd w:val="0"/>
        <w:ind w:left="720" w:hanging="720"/>
        <w:rPr>
          <w:rFonts w:cs="Times New Roman"/>
        </w:rPr>
      </w:pPr>
      <w:r w:rsidRPr="005D6196">
        <w:rPr>
          <w:rFonts w:cs="Times New Roman"/>
        </w:rPr>
        <w:t xml:space="preserve">Montrose, L. A. (1989). </w:t>
      </w:r>
      <w:proofErr w:type="gramStart"/>
      <w:r w:rsidRPr="005D6196">
        <w:rPr>
          <w:rFonts w:cs="Times New Roman"/>
        </w:rPr>
        <w:t>Professing the Renaissance: the poetics and politics of culture.</w:t>
      </w:r>
      <w:proofErr w:type="gramEnd"/>
      <w:r w:rsidRPr="005D6196">
        <w:rPr>
          <w:rFonts w:cs="Times New Roman"/>
        </w:rPr>
        <w:t xml:space="preserve"> </w:t>
      </w:r>
      <w:proofErr w:type="gramStart"/>
      <w:r w:rsidRPr="005D6196">
        <w:rPr>
          <w:rFonts w:cs="Times New Roman"/>
        </w:rPr>
        <w:t xml:space="preserve">In H. A. </w:t>
      </w:r>
      <w:proofErr w:type="spellStart"/>
      <w:r w:rsidRPr="005D6196">
        <w:rPr>
          <w:rFonts w:cs="Times New Roman"/>
        </w:rPr>
        <w:t>Veeser</w:t>
      </w:r>
      <w:proofErr w:type="spellEnd"/>
      <w:r w:rsidR="00B2312A" w:rsidRPr="005D6196">
        <w:rPr>
          <w:rFonts w:cs="Times New Roman"/>
        </w:rPr>
        <w:t xml:space="preserve"> (Ed.)</w:t>
      </w:r>
      <w:r w:rsidRPr="005D6196">
        <w:rPr>
          <w:rFonts w:cs="Times New Roman"/>
        </w:rPr>
        <w:t>.</w:t>
      </w:r>
      <w:proofErr w:type="gramEnd"/>
      <w:r w:rsidR="00B2312A" w:rsidRPr="005D6196">
        <w:rPr>
          <w:rFonts w:cs="Times New Roman"/>
          <w:u w:val="single"/>
        </w:rPr>
        <w:t xml:space="preserve"> </w:t>
      </w:r>
      <w:proofErr w:type="gramStart"/>
      <w:r w:rsidR="00B2312A" w:rsidRPr="005D6196">
        <w:rPr>
          <w:rFonts w:cs="Times New Roman"/>
          <w:i/>
        </w:rPr>
        <w:t>The New Historicism</w:t>
      </w:r>
      <w:r w:rsidR="00B2312A" w:rsidRPr="005D6196">
        <w:rPr>
          <w:rFonts w:cs="Times New Roman"/>
        </w:rPr>
        <w:t>.</w:t>
      </w:r>
      <w:proofErr w:type="gramEnd"/>
      <w:r w:rsidRPr="005D6196">
        <w:rPr>
          <w:rFonts w:cs="Times New Roman"/>
        </w:rPr>
        <w:t xml:space="preserve"> New York, Routledge</w:t>
      </w:r>
      <w:r w:rsidR="00B2312A" w:rsidRPr="005D6196">
        <w:rPr>
          <w:rFonts w:cs="Times New Roman"/>
          <w:b/>
          <w:bCs/>
        </w:rPr>
        <w:t>.</w:t>
      </w:r>
      <w:r w:rsidRPr="005D6196">
        <w:rPr>
          <w:rFonts w:cs="Times New Roman"/>
          <w:b/>
          <w:bCs/>
        </w:rPr>
        <w:t xml:space="preserve"> </w:t>
      </w:r>
      <w:proofErr w:type="gramStart"/>
      <w:r w:rsidRPr="005D6196">
        <w:rPr>
          <w:rFonts w:cs="Times New Roman"/>
        </w:rPr>
        <w:t>15-36.</w:t>
      </w:r>
      <w:proofErr w:type="gramEnd"/>
    </w:p>
    <w:p w:rsidR="00AE3769" w:rsidRPr="005D6196" w:rsidRDefault="00AE3769" w:rsidP="005D6196">
      <w:pPr>
        <w:widowControl w:val="0"/>
        <w:autoSpaceDE w:val="0"/>
        <w:autoSpaceDN w:val="0"/>
        <w:adjustRightInd w:val="0"/>
        <w:ind w:left="720" w:hanging="720"/>
        <w:rPr>
          <w:rFonts w:cs="Times New Roman"/>
        </w:rPr>
      </w:pPr>
      <w:r w:rsidRPr="005D6196">
        <w:rPr>
          <w:rFonts w:cs="Times New Roman"/>
        </w:rPr>
        <w:t>Polya, G. (1946).</w:t>
      </w:r>
      <w:r w:rsidRPr="005D6196">
        <w:rPr>
          <w:rFonts w:cs="Times New Roman"/>
          <w:u w:val="single"/>
        </w:rPr>
        <w:t xml:space="preserve"> </w:t>
      </w:r>
      <w:r w:rsidRPr="005D6196">
        <w:rPr>
          <w:rFonts w:cs="Times New Roman"/>
          <w:i/>
        </w:rPr>
        <w:t xml:space="preserve">How to </w:t>
      </w:r>
      <w:proofErr w:type="gramStart"/>
      <w:r w:rsidRPr="005D6196">
        <w:rPr>
          <w:rFonts w:cs="Times New Roman"/>
          <w:i/>
        </w:rPr>
        <w:t>Solve</w:t>
      </w:r>
      <w:proofErr w:type="gramEnd"/>
      <w:r w:rsidRPr="005D6196">
        <w:rPr>
          <w:rFonts w:cs="Times New Roman"/>
          <w:i/>
        </w:rPr>
        <w:t xml:space="preserve"> it: a new aspect of mathematical method</w:t>
      </w:r>
      <w:r w:rsidRPr="005D6196">
        <w:rPr>
          <w:rFonts w:cs="Times New Roman"/>
        </w:rPr>
        <w:t>. Princeton, Princeton University Press.</w:t>
      </w:r>
    </w:p>
    <w:p w:rsidR="00C47C4A" w:rsidRPr="005D6196" w:rsidRDefault="00C47C4A" w:rsidP="005D6196">
      <w:pPr>
        <w:widowControl w:val="0"/>
        <w:autoSpaceDE w:val="0"/>
        <w:autoSpaceDN w:val="0"/>
        <w:adjustRightInd w:val="0"/>
        <w:ind w:left="720" w:hanging="720"/>
        <w:rPr>
          <w:rFonts w:cs="Times New Roman"/>
        </w:rPr>
      </w:pPr>
      <w:r w:rsidRPr="005D6196">
        <w:rPr>
          <w:rFonts w:cs="Times New Roman"/>
        </w:rPr>
        <w:t xml:space="preserve">Rorty, R. (1989). </w:t>
      </w:r>
      <w:proofErr w:type="gramStart"/>
      <w:r w:rsidRPr="005D6196">
        <w:rPr>
          <w:rFonts w:cs="Times New Roman"/>
          <w:i/>
        </w:rPr>
        <w:t>Contingency, Irony and Solidarity</w:t>
      </w:r>
      <w:r w:rsidRPr="005D6196">
        <w:rPr>
          <w:rFonts w:cs="Times New Roman"/>
        </w:rPr>
        <w:t>.</w:t>
      </w:r>
      <w:proofErr w:type="gramEnd"/>
      <w:r w:rsidRPr="005D6196">
        <w:rPr>
          <w:rFonts w:cs="Times New Roman"/>
        </w:rPr>
        <w:t xml:space="preserve"> Cambridge. </w:t>
      </w:r>
      <w:proofErr w:type="gramStart"/>
      <w:r w:rsidRPr="005D6196">
        <w:rPr>
          <w:rFonts w:cs="Times New Roman"/>
        </w:rPr>
        <w:t>Cambridge University Press.</w:t>
      </w:r>
      <w:proofErr w:type="gramEnd"/>
    </w:p>
    <w:p w:rsidR="00093C5D" w:rsidRPr="005D6196" w:rsidRDefault="00093C5D" w:rsidP="005D6196">
      <w:pPr>
        <w:ind w:left="720" w:hanging="720"/>
      </w:pPr>
      <w:r w:rsidRPr="005D6196">
        <w:t>S</w:t>
      </w:r>
      <w:r w:rsidR="004937CE" w:rsidRPr="005D6196">
        <w:t>chön</w:t>
      </w:r>
      <w:r w:rsidRPr="005D6196">
        <w:t xml:space="preserve">, D.A. (1987). </w:t>
      </w:r>
      <w:r w:rsidRPr="005D6196">
        <w:rPr>
          <w:i/>
        </w:rPr>
        <w:t>Educating the Reflective Practitioner: toward a new design for teaching and learning in the professions</w:t>
      </w:r>
      <w:r w:rsidRPr="005D6196">
        <w:t xml:space="preserve">. San Francisco. </w:t>
      </w:r>
      <w:proofErr w:type="spellStart"/>
      <w:proofErr w:type="gramStart"/>
      <w:r w:rsidRPr="005D6196">
        <w:t>Jossey</w:t>
      </w:r>
      <w:proofErr w:type="spellEnd"/>
      <w:r w:rsidRPr="005D6196">
        <w:t>-Bass.</w:t>
      </w:r>
      <w:proofErr w:type="gramEnd"/>
    </w:p>
    <w:p w:rsidR="006132EE" w:rsidRPr="005D6196" w:rsidRDefault="006132EE" w:rsidP="005D6196">
      <w:pPr>
        <w:widowControl w:val="0"/>
        <w:autoSpaceDE w:val="0"/>
        <w:autoSpaceDN w:val="0"/>
        <w:adjustRightInd w:val="0"/>
        <w:ind w:left="720" w:hanging="720"/>
        <w:jc w:val="left"/>
        <w:rPr>
          <w:rFonts w:cs="Times New Roman"/>
        </w:rPr>
      </w:pPr>
      <w:r w:rsidRPr="005D6196">
        <w:rPr>
          <w:rFonts w:cs="Times New Roman"/>
        </w:rPr>
        <w:t xml:space="preserve">Sullivan, P. (2011). </w:t>
      </w:r>
      <w:r w:rsidRPr="005D6196">
        <w:rPr>
          <w:rFonts w:cs="Times New Roman"/>
          <w:i/>
        </w:rPr>
        <w:t>Teaching Mathematics: Using research-informed strategies</w:t>
      </w:r>
      <w:r w:rsidRPr="005D6196">
        <w:rPr>
          <w:rFonts w:cs="Times New Roman"/>
        </w:rPr>
        <w:t>. Camberwell, Australian Council for Educational Research.</w:t>
      </w:r>
    </w:p>
    <w:p w:rsidR="0076559B" w:rsidRPr="005D6196" w:rsidRDefault="008B7E09" w:rsidP="005D6196">
      <w:pPr>
        <w:widowControl w:val="0"/>
        <w:autoSpaceDE w:val="0"/>
        <w:autoSpaceDN w:val="0"/>
        <w:adjustRightInd w:val="0"/>
        <w:ind w:left="720" w:hanging="720"/>
        <w:rPr>
          <w:rFonts w:cs="Times New Roman"/>
        </w:rPr>
      </w:pPr>
      <w:r w:rsidRPr="005D6196">
        <w:rPr>
          <w:rFonts w:cs="Times New Roman"/>
        </w:rPr>
        <w:t xml:space="preserve">Turnbull, D. (2000). </w:t>
      </w:r>
      <w:r w:rsidRPr="005D6196">
        <w:rPr>
          <w:rFonts w:cs="Times New Roman"/>
          <w:i/>
        </w:rPr>
        <w:t>Masons, Tricksters and Cartographers: Comparative studies in the sociology of scientific and indigenous knowledge</w:t>
      </w:r>
      <w:r w:rsidRPr="005D6196">
        <w:rPr>
          <w:rFonts w:cs="Times New Roman"/>
        </w:rPr>
        <w:t xml:space="preserve">. London. </w:t>
      </w:r>
      <w:proofErr w:type="gramStart"/>
      <w:r w:rsidRPr="005D6196">
        <w:rPr>
          <w:rFonts w:cs="Times New Roman"/>
        </w:rPr>
        <w:t>Routledge.</w:t>
      </w:r>
      <w:proofErr w:type="gramEnd"/>
    </w:p>
    <w:sectPr w:rsidR="0076559B" w:rsidRPr="005D6196" w:rsidSect="000D6171">
      <w:endnotePr>
        <w:numFmt w:val="decimal"/>
      </w:endnotePr>
      <w:type w:val="continuous"/>
      <w:pgSz w:w="11900" w:h="16820"/>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BB" w:rsidRDefault="00A961BB" w:rsidP="006C654D"/>
  </w:endnote>
  <w:endnote w:type="continuationSeparator" w:id="0">
    <w:p w:rsidR="00A961BB" w:rsidRDefault="00A961BB" w:rsidP="006C654D"/>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明朝">
    <w:altName w:val="MS Mincho"/>
    <w:charset w:val="4E"/>
    <w:family w:val="auto"/>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92" w:rsidRDefault="00D4160A" w:rsidP="00553C07">
    <w:pPr>
      <w:pStyle w:val="Footer"/>
      <w:framePr w:wrap="around" w:vAnchor="text" w:hAnchor="margin" w:xAlign="right" w:y="1"/>
      <w:rPr>
        <w:rStyle w:val="PageNumber"/>
      </w:rPr>
    </w:pPr>
    <w:r>
      <w:rPr>
        <w:rStyle w:val="PageNumber"/>
      </w:rPr>
      <w:fldChar w:fldCharType="begin"/>
    </w:r>
    <w:r w:rsidR="003A6292">
      <w:rPr>
        <w:rStyle w:val="PageNumber"/>
      </w:rPr>
      <w:instrText xml:space="preserve">PAGE  </w:instrText>
    </w:r>
    <w:r>
      <w:rPr>
        <w:rStyle w:val="PageNumber"/>
      </w:rPr>
      <w:fldChar w:fldCharType="end"/>
    </w:r>
  </w:p>
  <w:p w:rsidR="003A6292" w:rsidRDefault="003A6292" w:rsidP="006C65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292" w:rsidRDefault="00D4160A" w:rsidP="00553C07">
    <w:pPr>
      <w:pStyle w:val="Footer"/>
      <w:framePr w:wrap="around" w:vAnchor="text" w:hAnchor="margin" w:xAlign="right" w:y="1"/>
      <w:rPr>
        <w:rStyle w:val="PageNumber"/>
      </w:rPr>
    </w:pPr>
    <w:r>
      <w:rPr>
        <w:rStyle w:val="PageNumber"/>
      </w:rPr>
      <w:fldChar w:fldCharType="begin"/>
    </w:r>
    <w:r w:rsidR="003A6292">
      <w:rPr>
        <w:rStyle w:val="PageNumber"/>
      </w:rPr>
      <w:instrText xml:space="preserve">PAGE  </w:instrText>
    </w:r>
    <w:r>
      <w:rPr>
        <w:rStyle w:val="PageNumber"/>
      </w:rPr>
      <w:fldChar w:fldCharType="separate"/>
    </w:r>
    <w:r w:rsidR="005D6196">
      <w:rPr>
        <w:rStyle w:val="PageNumber"/>
        <w:noProof/>
      </w:rPr>
      <w:t>21</w:t>
    </w:r>
    <w:r>
      <w:rPr>
        <w:rStyle w:val="PageNumber"/>
      </w:rPr>
      <w:fldChar w:fldCharType="end"/>
    </w:r>
  </w:p>
  <w:p w:rsidR="003A6292" w:rsidRDefault="003A6292" w:rsidP="006C654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BB" w:rsidRDefault="00A961BB" w:rsidP="006C654D">
      <w:r>
        <w:separator/>
      </w:r>
    </w:p>
  </w:footnote>
  <w:footnote w:type="continuationSeparator" w:id="0">
    <w:p w:rsidR="00A961BB" w:rsidRDefault="00A961BB" w:rsidP="006C654D">
      <w:r>
        <w:continuationSeparator/>
      </w:r>
    </w:p>
  </w:footnote>
  <w:footnote w:id="1">
    <w:p w:rsidR="003A6292" w:rsidRPr="00CE4C99" w:rsidRDefault="003A6292" w:rsidP="00B90B54">
      <w:pPr>
        <w:widowControl w:val="0"/>
        <w:autoSpaceDE w:val="0"/>
        <w:autoSpaceDN w:val="0"/>
        <w:adjustRightInd w:val="0"/>
        <w:rPr>
          <w:rFonts w:cs="Times New Roman"/>
          <w:lang w:val="en-US"/>
        </w:rPr>
      </w:pPr>
      <w:r>
        <w:rPr>
          <w:rStyle w:val="FootnoteReference"/>
        </w:rPr>
        <w:footnoteRef/>
      </w:r>
      <w:r>
        <w:t xml:space="preserve"> </w:t>
      </w:r>
      <w:r w:rsidRPr="00CE4C99">
        <w:rPr>
          <w:sz w:val="22"/>
          <w:szCs w:val="22"/>
          <w:lang w:val="en-US"/>
        </w:rPr>
        <w:t xml:space="preserve">This article was originally published in </w:t>
      </w:r>
      <w:r w:rsidRPr="00CE4C99">
        <w:rPr>
          <w:i/>
          <w:sz w:val="22"/>
          <w:szCs w:val="22"/>
          <w:lang w:val="en-US"/>
        </w:rPr>
        <w:t>Mathematics Education Research Journal</w:t>
      </w:r>
      <w:r w:rsidRPr="00CE4C99">
        <w:rPr>
          <w:sz w:val="22"/>
          <w:szCs w:val="22"/>
          <w:lang w:val="en-US"/>
        </w:rPr>
        <w:t xml:space="preserve"> on an Open Access basis (</w:t>
      </w:r>
      <w:hyperlink r:id="rId1" w:history="1">
        <w:r w:rsidRPr="00017D1D">
          <w:rPr>
            <w:rStyle w:val="Hyperlink"/>
            <w:sz w:val="22"/>
            <w:szCs w:val="22"/>
            <w:lang w:val="en-US"/>
          </w:rPr>
          <w:t>http://link.springer.com/article/10.1007/s13394-013-0073-8</w:t>
        </w:r>
      </w:hyperlink>
      <w:r w:rsidRPr="00CE4C99">
        <w:rPr>
          <w:sz w:val="22"/>
          <w:szCs w:val="22"/>
          <w:lang w:val="en-US"/>
        </w:rPr>
        <w:t xml:space="preserve">). </w:t>
      </w:r>
      <w:r w:rsidR="00CE4C99">
        <w:rPr>
          <w:rFonts w:cs="Times New Roman"/>
          <w:color w:val="101010"/>
          <w:sz w:val="22"/>
          <w:szCs w:val="22"/>
          <w:lang w:val="en-US"/>
        </w:rPr>
        <w:t>It</w:t>
      </w:r>
      <w:r w:rsidR="00CE4C99" w:rsidRPr="00CE4C99">
        <w:rPr>
          <w:rFonts w:cs="Times New Roman"/>
          <w:color w:val="101010"/>
          <w:sz w:val="22"/>
          <w:szCs w:val="22"/>
          <w:lang w:val="en-US"/>
        </w:rPr>
        <w:t xml:space="preserve"> is distributed under the terms of the Creative Commons Attribution License</w:t>
      </w:r>
      <w:r w:rsidR="00CE4C99">
        <w:rPr>
          <w:rFonts w:cs="Times New Roman"/>
          <w:color w:val="101010"/>
          <w:sz w:val="22"/>
          <w:szCs w:val="22"/>
          <w:lang w:val="en-US"/>
        </w:rPr>
        <w:t>,</w:t>
      </w:r>
      <w:r w:rsidR="00CE4C99" w:rsidRPr="00CE4C99">
        <w:rPr>
          <w:rFonts w:cs="Times New Roman"/>
          <w:color w:val="101010"/>
          <w:sz w:val="22"/>
          <w:szCs w:val="22"/>
          <w:lang w:val="en-US"/>
        </w:rPr>
        <w:t xml:space="preserve"> which permits any use, distribution, and reproduction in any </w:t>
      </w:r>
      <w:proofErr w:type="gramStart"/>
      <w:r w:rsidR="00CE4C99" w:rsidRPr="00CE4C99">
        <w:rPr>
          <w:rFonts w:cs="Times New Roman"/>
          <w:color w:val="101010"/>
          <w:sz w:val="22"/>
          <w:szCs w:val="22"/>
          <w:lang w:val="en-US"/>
        </w:rPr>
        <w:t>medium,</w:t>
      </w:r>
      <w:proofErr w:type="gramEnd"/>
      <w:r w:rsidR="00CE4C99">
        <w:rPr>
          <w:rFonts w:cs="Times New Roman"/>
          <w:color w:val="101010"/>
          <w:sz w:val="22"/>
          <w:szCs w:val="22"/>
          <w:lang w:val="en-US"/>
        </w:rPr>
        <w:t xml:space="preserve"> provided the original author</w:t>
      </w:r>
      <w:r w:rsidR="00CE4C99" w:rsidRPr="00CE4C99">
        <w:rPr>
          <w:rFonts w:cs="Times New Roman"/>
          <w:color w:val="101010"/>
          <w:sz w:val="22"/>
          <w:szCs w:val="22"/>
          <w:lang w:val="en-US"/>
        </w:rPr>
        <w:t xml:space="preserve"> and the source are credited</w:t>
      </w:r>
      <w:r w:rsidR="00E41E91">
        <w:rPr>
          <w:rFonts w:cs="Times New Roman"/>
          <w:color w:val="101010"/>
          <w:sz w:val="22"/>
          <w:szCs w:val="22"/>
          <w:lang w:val="en-US"/>
        </w:rPr>
        <w:t xml:space="preserve"> and provided the author is notified of any secondary publication</w:t>
      </w:r>
      <w:bookmarkStart w:id="0" w:name="_GoBack"/>
      <w:bookmarkEnd w:id="0"/>
      <w:r w:rsidR="00CE4C99" w:rsidRPr="00CE4C99">
        <w:rPr>
          <w:rFonts w:cs="Times New Roman"/>
          <w:color w:val="101010"/>
          <w:sz w:val="22"/>
          <w:szCs w:val="22"/>
          <w:lang w:val="en-US"/>
        </w:rPr>
        <w:t>.</w:t>
      </w:r>
    </w:p>
  </w:footnote>
  <w:footnote w:id="2">
    <w:p w:rsidR="003A6292" w:rsidRPr="002C2FF6" w:rsidRDefault="003A6292">
      <w:pPr>
        <w:pStyle w:val="FootnoteText"/>
        <w:rPr>
          <w:szCs w:val="20"/>
          <w:lang w:val="en-US"/>
        </w:rPr>
      </w:pPr>
      <w:r w:rsidRPr="002C2FF6">
        <w:rPr>
          <w:rStyle w:val="FootnoteReference"/>
          <w:szCs w:val="20"/>
        </w:rPr>
        <w:footnoteRef/>
      </w:r>
      <w:r w:rsidRPr="002C2FF6">
        <w:rPr>
          <w:szCs w:val="20"/>
        </w:rPr>
        <w:t xml:space="preserve"> </w:t>
      </w:r>
      <w:r w:rsidRPr="002C2FF6">
        <w:rPr>
          <w:szCs w:val="20"/>
          <w:lang w:val="en-US"/>
        </w:rPr>
        <w:t>See, for example, http://www.guardian.co.uk/teacher-network/2012/jul/08/higgs-boson-resources-teachers?INTCMP=SRCH.</w:t>
      </w:r>
    </w:p>
  </w:footnote>
  <w:footnote w:id="3">
    <w:p w:rsidR="003A6292" w:rsidRPr="002C2FF6" w:rsidRDefault="003A6292" w:rsidP="00187223">
      <w:pPr>
        <w:pStyle w:val="FootnoteText"/>
        <w:rPr>
          <w:lang w:val="en-US"/>
        </w:rPr>
      </w:pPr>
      <w:r w:rsidRPr="002C2FF6">
        <w:rPr>
          <w:rStyle w:val="FootnoteReference"/>
          <w:szCs w:val="20"/>
        </w:rPr>
        <w:footnoteRef/>
      </w:r>
      <w:r w:rsidRPr="002C2FF6">
        <w:t xml:space="preserve"> </w:t>
      </w:r>
      <w:r w:rsidRPr="002C2FF6">
        <w:rPr>
          <w:lang w:val="en-US"/>
        </w:rPr>
        <w:t xml:space="preserve"> See Dowling (2009) for an explanation of this decision, though the initial paragraphs to the current paper provide some indication of the rationale.</w:t>
      </w:r>
    </w:p>
  </w:footnote>
  <w:footnote w:id="4">
    <w:p w:rsidR="003A6292" w:rsidRPr="004002CB" w:rsidRDefault="003A6292">
      <w:pPr>
        <w:pStyle w:val="FootnoteText"/>
        <w:rPr>
          <w:lang w:val="en-US"/>
        </w:rPr>
      </w:pPr>
      <w:r>
        <w:rPr>
          <w:rStyle w:val="FootnoteReference"/>
        </w:rPr>
        <w:footnoteRef/>
      </w:r>
      <w:r>
        <w:t xml:space="preserve"> </w:t>
      </w:r>
      <w:proofErr w:type="spellStart"/>
      <w:r>
        <w:rPr>
          <w:lang w:val="en-US"/>
        </w:rPr>
        <w:t>Autopoiesis</w:t>
      </w:r>
      <w:proofErr w:type="spellEnd"/>
      <w:r>
        <w:rPr>
          <w:lang w:val="en-US"/>
        </w:rPr>
        <w:t xml:space="preserve"> means self-making.</w:t>
      </w:r>
    </w:p>
  </w:footnote>
  <w:footnote w:id="5">
    <w:p w:rsidR="003A6292" w:rsidRPr="000B7B76" w:rsidRDefault="003A6292">
      <w:pPr>
        <w:pStyle w:val="FootnoteText"/>
        <w:rPr>
          <w:lang w:val="en-US"/>
        </w:rPr>
      </w:pPr>
      <w:r>
        <w:rPr>
          <w:rStyle w:val="FootnoteReference"/>
        </w:rPr>
        <w:footnoteRef/>
      </w:r>
      <w:r>
        <w:t xml:space="preserve"> </w:t>
      </w:r>
      <w:r>
        <w:rPr>
          <w:lang w:val="en-US"/>
        </w:rPr>
        <w:t>The internal language of classical grounded theory is, of course widely contested (although not by its ‘mentored’ exponents—see Martin &amp; Gynnild, 2011), but is it all that important?</w:t>
      </w:r>
    </w:p>
  </w:footnote>
  <w:footnote w:id="6">
    <w:p w:rsidR="003A6292" w:rsidRPr="00EF6F61" w:rsidRDefault="003A6292">
      <w:pPr>
        <w:pStyle w:val="FootnoteText"/>
        <w:rPr>
          <w:lang w:val="en-US"/>
        </w:rPr>
      </w:pPr>
      <w:r>
        <w:rPr>
          <w:rStyle w:val="FootnoteReference"/>
        </w:rPr>
        <w:footnoteRef/>
      </w:r>
      <w:r>
        <w:t xml:space="preserve"> </w:t>
      </w:r>
      <w:r>
        <w:rPr>
          <w:lang w:val="en-US"/>
        </w:rPr>
        <w:t>The imagination of a continuum where there is no obvious metric is widespread and clearly itself a reduction. It is sometimes introduced with perhaps less culpability in pedagogic texts—see, for example, the reflection on the participant/observer ‘continuum’ in Dowling &amp; Brown (2010)—though it is still doing violence to the concepts.</w:t>
      </w:r>
    </w:p>
  </w:footnote>
  <w:footnote w:id="7">
    <w:p w:rsidR="003A6292" w:rsidRPr="007D3E22" w:rsidRDefault="003A6292">
      <w:pPr>
        <w:pStyle w:val="FootnoteText"/>
        <w:rPr>
          <w:lang w:val="en-US"/>
        </w:rPr>
      </w:pPr>
      <w:r>
        <w:rPr>
          <w:rStyle w:val="FootnoteReference"/>
        </w:rPr>
        <w:footnoteRef/>
      </w:r>
      <w:r>
        <w:t xml:space="preserve"> The accumulation of such </w:t>
      </w:r>
      <w:proofErr w:type="spellStart"/>
      <w:r>
        <w:t>codings</w:t>
      </w:r>
      <w:proofErr w:type="spellEnd"/>
      <w:r>
        <w:t xml:space="preserve"> may enable us to identify a dominant strategy or strategies. Again, however, this is not going to be straightforward because the enumeration of strategies renders all </w:t>
      </w:r>
      <w:proofErr w:type="spellStart"/>
      <w:r>
        <w:t>codings</w:t>
      </w:r>
      <w:proofErr w:type="spellEnd"/>
      <w:r>
        <w:t xml:space="preserve"> to be equivalent. This is a problem to the extent, for example, that the particular prominence or situation of a given instance of, say </w:t>
      </w:r>
      <w:r>
        <w:rPr>
          <w:i/>
        </w:rPr>
        <w:t>fiction</w:t>
      </w:r>
      <w:r>
        <w:t xml:space="preserve">, may establish it as having far greater semiotic significance than multiple instances of </w:t>
      </w:r>
      <w:r>
        <w:rPr>
          <w:i/>
        </w:rPr>
        <w:t>method</w:t>
      </w:r>
      <w:r>
        <w:t>. None of this is to argue that counting should be avoided at all costs in qualitative research, but it must be handled with care and, even so, will always distort.</w:t>
      </w:r>
    </w:p>
  </w:footnote>
  <w:footnote w:id="8">
    <w:p w:rsidR="003A6292" w:rsidRPr="00511E36" w:rsidRDefault="003A6292">
      <w:pPr>
        <w:pStyle w:val="FootnoteText"/>
        <w:rPr>
          <w:lang w:val="en-US"/>
        </w:rPr>
      </w:pPr>
      <w:r>
        <w:rPr>
          <w:rStyle w:val="FootnoteReference"/>
        </w:rPr>
        <w:footnoteRef/>
      </w:r>
      <w:r>
        <w:t xml:space="preserve"> </w:t>
      </w:r>
      <w:r>
        <w:rPr>
          <w:lang w:val="en-US"/>
        </w:rPr>
        <w:t xml:space="preserve">Having just argued against the totalizing of disciplines alongside the presentation of examples that may be taken to do exactly that, a little further explanation is needed. The examples that I have used are from astrophysics (Babbedge </w:t>
      </w:r>
      <w:r>
        <w:rPr>
          <w:i/>
          <w:lang w:val="en-US"/>
        </w:rPr>
        <w:t>et al</w:t>
      </w:r>
      <w:r>
        <w:rPr>
          <w:lang w:val="en-US"/>
        </w:rPr>
        <w:t xml:space="preserve">), sociology (Bernstein, Dowling), and literary criticism (Leavis, Montrose). I am referring to these as instances within disciplines rather than as representatives of disciplines. The divergence between Bernstein and Dowling, in sociology, and Leavis and </w:t>
      </w:r>
      <w:proofErr w:type="spellStart"/>
      <w:r>
        <w:rPr>
          <w:lang w:val="en-US"/>
        </w:rPr>
        <w:t>Montose</w:t>
      </w:r>
      <w:proofErr w:type="spellEnd"/>
      <w:r>
        <w:rPr>
          <w:lang w:val="en-US"/>
        </w:rPr>
        <w:t xml:space="preserve">, in literary criticism, makes plain that disciplines are not military institutions, demanding uniformity. Indeed, a closer look at each of these instances would doubtless identify the presence of other strategies, so that even they are not pure instances. This having been said, no extended analysis of these examples is offered and their purpose in this paper is primarily pedagogic. So, I have to admit to playing on presumed stereotypes that enables me to assume a ready association of physics with inscription devices and internal theory and a common, if unfortunate, association of literary criticism with fiction; unfortunate, perhaps, though I think that </w:t>
      </w:r>
      <w:r>
        <w:rPr>
          <w:i/>
          <w:lang w:val="en-US"/>
        </w:rPr>
        <w:t>fiction</w:t>
      </w:r>
      <w:r>
        <w:rPr>
          <w:lang w:val="en-US"/>
        </w:rPr>
        <w:t xml:space="preserve"> (</w:t>
      </w:r>
      <w:proofErr w:type="spellStart"/>
      <w:r>
        <w:rPr>
          <w:lang w:val="en-US"/>
        </w:rPr>
        <w:t>ie</w:t>
      </w:r>
      <w:proofErr w:type="spellEnd"/>
      <w:r>
        <w:rPr>
          <w:lang w:val="en-US"/>
        </w:rPr>
        <w:t xml:space="preserve"> of my kind) is rather what Leavis was advocating.</w:t>
      </w:r>
    </w:p>
  </w:footnote>
  <w:footnote w:id="9">
    <w:p w:rsidR="003A6292" w:rsidRPr="00ED59EB" w:rsidRDefault="003A6292">
      <w:pPr>
        <w:pStyle w:val="FootnoteText"/>
        <w:rPr>
          <w:lang w:val="en-US"/>
        </w:rPr>
      </w:pPr>
      <w:r>
        <w:rPr>
          <w:rStyle w:val="FootnoteReference"/>
        </w:rPr>
        <w:footnoteRef/>
      </w:r>
      <w:r>
        <w:t xml:space="preserve"> </w:t>
      </w:r>
      <w:r>
        <w:rPr>
          <w:lang w:val="en-US"/>
        </w:rPr>
        <w:t xml:space="preserve">All of the GCSE papers that are referred to in this paper were sourced from the AQA site at </w:t>
      </w:r>
      <w:r w:rsidRPr="00ED59EB">
        <w:rPr>
          <w:lang w:val="en-US"/>
        </w:rPr>
        <w:t>http://web.aqa.org.uk/</w:t>
      </w:r>
    </w:p>
  </w:footnote>
  <w:footnote w:id="10">
    <w:p w:rsidR="003A6292" w:rsidRPr="009E38DA" w:rsidRDefault="003A6292">
      <w:pPr>
        <w:pStyle w:val="FootnoteText"/>
        <w:rPr>
          <w:lang w:val="en-US"/>
        </w:rPr>
      </w:pPr>
      <w:r>
        <w:rPr>
          <w:rStyle w:val="FootnoteReference"/>
        </w:rPr>
        <w:footnoteRef/>
      </w:r>
      <w:r>
        <w:t xml:space="preserve"> </w:t>
      </w:r>
      <w:r>
        <w:rPr>
          <w:lang w:val="en-US"/>
        </w:rPr>
        <w:t>Of course, the term ‘probability’ appears in the text and this is an I</w:t>
      </w:r>
      <w:r>
        <w:rPr>
          <w:vertAlign w:val="superscript"/>
          <w:lang w:val="en-US"/>
        </w:rPr>
        <w:t>+</w:t>
      </w:r>
      <w:r>
        <w:rPr>
          <w:lang w:val="en-US"/>
        </w:rPr>
        <w:t xml:space="preserve"> mathematical term. Strictly speaking, we should say that this item combines </w:t>
      </w:r>
      <w:r w:rsidRPr="009E38DA">
        <w:rPr>
          <w:i/>
          <w:lang w:val="en-US"/>
        </w:rPr>
        <w:t>expressive</w:t>
      </w:r>
      <w:r>
        <w:rPr>
          <w:i/>
          <w:lang w:val="en-US"/>
        </w:rPr>
        <w:t xml:space="preserve"> domain</w:t>
      </w:r>
      <w:r>
        <w:rPr>
          <w:lang w:val="en-US"/>
        </w:rPr>
        <w:t xml:space="preserve"> and </w:t>
      </w:r>
      <w:r>
        <w:rPr>
          <w:i/>
          <w:lang w:val="en-US"/>
        </w:rPr>
        <w:t>esoteric domain</w:t>
      </w:r>
      <w:r>
        <w:rPr>
          <w:lang w:val="en-US"/>
        </w:rPr>
        <w:t xml:space="preserve"> strategies, though the incidence of the latter is minimal.</w:t>
      </w:r>
    </w:p>
  </w:footnote>
  <w:footnote w:id="11">
    <w:p w:rsidR="006E3196" w:rsidRPr="00C359AA" w:rsidRDefault="006E3196" w:rsidP="006E3196">
      <w:pPr>
        <w:pStyle w:val="FootnoteText"/>
        <w:rPr>
          <w:lang w:val="en-US"/>
        </w:rPr>
      </w:pPr>
      <w:r>
        <w:rPr>
          <w:rStyle w:val="FootnoteReference"/>
        </w:rPr>
        <w:footnoteRef/>
      </w:r>
      <w:r>
        <w:t xml:space="preserve"> </w:t>
      </w:r>
      <w:r>
        <w:rPr>
          <w:lang w:val="en-US"/>
        </w:rPr>
        <w:t xml:space="preserve">See, for example, the walkthroughs on Stella’s Tomb Raider Site at </w:t>
      </w:r>
      <w:r w:rsidRPr="00C359AA">
        <w:rPr>
          <w:lang w:val="en-US"/>
        </w:rPr>
        <w:t>http://tombraiders.net/</w:t>
      </w:r>
      <w:r>
        <w:rPr>
          <w:lang w:val="en-US"/>
        </w:rPr>
        <w:t>.</w:t>
      </w:r>
    </w:p>
  </w:footnote>
  <w:footnote w:id="12">
    <w:p w:rsidR="003A6292" w:rsidRPr="00861528" w:rsidRDefault="003A6292" w:rsidP="000532C1">
      <w:pPr>
        <w:pStyle w:val="FootnoteText"/>
        <w:rPr>
          <w:lang w:val="en-US"/>
        </w:rPr>
      </w:pPr>
      <w:r>
        <w:rPr>
          <w:rStyle w:val="FootnoteReference"/>
        </w:rPr>
        <w:footnoteRef/>
      </w:r>
      <w:r>
        <w:t xml:space="preserve"> </w:t>
      </w:r>
      <w:r>
        <w:rPr>
          <w:lang w:val="en-US"/>
        </w:rPr>
        <w:t xml:space="preserve">Or. </w:t>
      </w:r>
      <w:proofErr w:type="gramStart"/>
      <w:r>
        <w:rPr>
          <w:lang w:val="en-US"/>
        </w:rPr>
        <w:t>alternatively</w:t>
      </w:r>
      <w:proofErr w:type="gramEnd"/>
      <w:r>
        <w:rPr>
          <w:lang w:val="en-US"/>
        </w:rPr>
        <w:t xml:space="preserve">, as if alternative semiotic mediations were somehow comparable or mutually </w:t>
      </w:r>
      <w:proofErr w:type="spellStart"/>
      <w:r>
        <w:rPr>
          <w:lang w:val="en-US"/>
        </w:rPr>
        <w:t>compensatable</w:t>
      </w:r>
      <w:proofErr w:type="spellEnd"/>
      <w:r>
        <w:rPr>
          <w:lang w:val="en-US"/>
        </w:rPr>
        <w:t xml:space="preserve"> so that their respective specificities might be taken out of the equation in a kind of triangulation process.</w:t>
      </w:r>
    </w:p>
  </w:footnote>
  <w:footnote w:id="13">
    <w:p w:rsidR="003A6292" w:rsidRPr="000B5DAF" w:rsidRDefault="003A6292" w:rsidP="000532C1">
      <w:pPr>
        <w:pStyle w:val="FootnoteText"/>
        <w:rPr>
          <w:lang w:val="en-US"/>
        </w:rPr>
      </w:pPr>
      <w:r>
        <w:rPr>
          <w:rStyle w:val="FootnoteReference"/>
        </w:rPr>
        <w:footnoteRef/>
      </w:r>
      <w:r>
        <w:t xml:space="preserve"> </w:t>
      </w:r>
      <w:r>
        <w:rPr>
          <w:lang w:val="en-US"/>
        </w:rPr>
        <w:t>These and other configurations of the domains of action scheme arose in discussion with Soh-young Chung (2011), Russell Dudley-Smith and Jeremy Burke. Dudley-Smith and Burke are now completing their doctoral theses at the Institute of Education, University of London.</w:t>
      </w:r>
    </w:p>
  </w:footnote>
  <w:footnote w:id="14">
    <w:p w:rsidR="003A6292" w:rsidRPr="00B06C8B" w:rsidRDefault="003A6292">
      <w:pPr>
        <w:pStyle w:val="FootnoteText"/>
        <w:rPr>
          <w:lang w:val="en-US"/>
        </w:rPr>
      </w:pPr>
      <w:r>
        <w:rPr>
          <w:rStyle w:val="FootnoteReference"/>
        </w:rPr>
        <w:footnoteRef/>
      </w:r>
      <w:r>
        <w:t xml:space="preserve"> </w:t>
      </w:r>
      <w:r>
        <w:rPr>
          <w:lang w:val="en-US"/>
        </w:rPr>
        <w:t xml:space="preserve">Bourdieu has in his sights Claude </w:t>
      </w:r>
      <w:proofErr w:type="spellStart"/>
      <w:r>
        <w:rPr>
          <w:lang w:val="en-US"/>
        </w:rPr>
        <w:t>Lévi-Strass</w:t>
      </w:r>
      <w:proofErr w:type="spellEnd"/>
      <w:r>
        <w:rPr>
          <w:lang w:val="en-US"/>
        </w:rPr>
        <w:t>, here, though he does a fair amount of recontextualising of the latter’s work.</w:t>
      </w:r>
    </w:p>
  </w:footnote>
  <w:footnote w:id="15">
    <w:p w:rsidR="003A6292" w:rsidRPr="00191E2F" w:rsidRDefault="003A6292">
      <w:pPr>
        <w:pStyle w:val="FootnoteText"/>
        <w:rPr>
          <w:lang w:val="en-US"/>
        </w:rPr>
      </w:pPr>
      <w:r>
        <w:rPr>
          <w:rStyle w:val="FootnoteReference"/>
        </w:rPr>
        <w:footnoteRef/>
      </w:r>
      <w:r w:rsidRPr="00191E2F">
        <w:rPr>
          <w:lang w:val="en-US"/>
        </w:rPr>
        <w:t>http://www.education.gov.uk/schools/teachingandlearning/curriculum/secondary/b00199003/mathematics/ks3</w:t>
      </w:r>
      <w:r>
        <w:rPr>
          <w:lang w:val="en-US"/>
        </w:rPr>
        <w:t>; text updated 25</w:t>
      </w:r>
      <w:r w:rsidRPr="00191E2F">
        <w:rPr>
          <w:vertAlign w:val="superscript"/>
          <w:lang w:val="en-US"/>
        </w:rPr>
        <w:t>th</w:t>
      </w:r>
      <w:r>
        <w:rPr>
          <w:lang w:val="en-US"/>
        </w:rPr>
        <w:t xml:space="preserve"> November 2012; retrieved 11</w:t>
      </w:r>
      <w:r w:rsidRPr="00191E2F">
        <w:rPr>
          <w:vertAlign w:val="superscript"/>
          <w:lang w:val="en-US"/>
        </w:rPr>
        <w:t>th</w:t>
      </w:r>
      <w:r>
        <w:rPr>
          <w:lang w:val="en-US"/>
        </w:rPr>
        <w:t xml:space="preserve"> July 2012. The same text prefaces both Key Stages 3 and 4, although the emphasis on the non-mathematical is, interestingly, comparatively absent from the primary phase </w:t>
      </w:r>
      <w:proofErr w:type="spellStart"/>
      <w:r>
        <w:rPr>
          <w:lang w:val="en-US"/>
        </w:rPr>
        <w:t>programme</w:t>
      </w:r>
      <w:proofErr w:type="spellEnd"/>
      <w:r>
        <w:rPr>
          <w:lang w:val="en-US"/>
        </w:rPr>
        <w:t xml:space="preserve"> of work.</w:t>
      </w:r>
    </w:p>
  </w:footnote>
  <w:footnote w:id="16">
    <w:p w:rsidR="003A6292" w:rsidRPr="00160595" w:rsidRDefault="003A6292">
      <w:pPr>
        <w:pStyle w:val="FootnoteText"/>
        <w:rPr>
          <w:lang w:val="en-US"/>
        </w:rPr>
      </w:pPr>
      <w:r>
        <w:rPr>
          <w:rStyle w:val="FootnoteReference"/>
        </w:rPr>
        <w:footnoteRef/>
      </w:r>
      <w:r>
        <w:t xml:space="preserve"> </w:t>
      </w:r>
      <w:r>
        <w:rPr>
          <w:lang w:val="en-US"/>
        </w:rPr>
        <w:t>AQA (</w:t>
      </w:r>
      <w:r w:rsidRPr="00ED59EB">
        <w:rPr>
          <w:lang w:val="en-US"/>
        </w:rPr>
        <w:t>http://web.aqa.org.uk/</w:t>
      </w:r>
      <w:r>
        <w:rPr>
          <w:lang w:val="en-US"/>
        </w:rPr>
        <w:t>) describes itself as ‘an educational charity’ that is ‘the leading provider of GCSEs and A-levels’ and claims that their ‘qualifications are used in most secondary schools and colleges in England, Wales and Northern Ireland …’ (</w:t>
      </w:r>
      <w:r w:rsidRPr="00BB4B8E">
        <w:rPr>
          <w:lang w:val="en-US"/>
        </w:rPr>
        <w:t>http://www.aqa.org.uk/about-us</w:t>
      </w:r>
      <w:r>
        <w:rPr>
          <w:lang w:val="en-US"/>
        </w:rPr>
        <w:t>).</w:t>
      </w:r>
    </w:p>
  </w:footnote>
  <w:footnote w:id="17">
    <w:p w:rsidR="003A6292" w:rsidRPr="0049088A" w:rsidRDefault="003A6292">
      <w:pPr>
        <w:pStyle w:val="FootnoteText"/>
        <w:rPr>
          <w:lang w:val="en-US"/>
        </w:rPr>
      </w:pPr>
      <w:r>
        <w:rPr>
          <w:rStyle w:val="FootnoteReference"/>
        </w:rPr>
        <w:footnoteRef/>
      </w:r>
      <w:r>
        <w:t xml:space="preserve"> </w:t>
      </w:r>
      <w:r>
        <w:rPr>
          <w:lang w:val="en-US"/>
        </w:rPr>
        <w:t xml:space="preserve">Most of the items were organized in parts (a, b, </w:t>
      </w:r>
      <w:proofErr w:type="gramStart"/>
      <w:r>
        <w:rPr>
          <w:lang w:val="en-US"/>
        </w:rPr>
        <w:t>c, …)</w:t>
      </w:r>
      <w:proofErr w:type="gramEnd"/>
      <w:r>
        <w:rPr>
          <w:lang w:val="en-US"/>
        </w:rPr>
        <w:t>, but I found that the parts of any given question could validly be coded in the same way.</w:t>
      </w:r>
    </w:p>
  </w:footnote>
  <w:footnote w:id="18">
    <w:p w:rsidR="003A6292" w:rsidRPr="00D22CF9" w:rsidRDefault="003A6292" w:rsidP="008A612C">
      <w:pPr>
        <w:pStyle w:val="FootnoteText"/>
        <w:rPr>
          <w:lang w:val="en-US"/>
        </w:rPr>
      </w:pPr>
      <w:r>
        <w:rPr>
          <w:rStyle w:val="FootnoteReference"/>
        </w:rPr>
        <w:footnoteRef/>
      </w:r>
      <w:r>
        <w:t xml:space="preserve"> </w:t>
      </w:r>
      <w:r>
        <w:rPr>
          <w:lang w:val="en-US"/>
        </w:rPr>
        <w:t>I announced at the head of this paper that I would take ‘knowledge’ as my empirical setting. This is something of a pragmatic (or perhaps pedagogic) recontextualisation of my own position as I generally reject the fetishizing of knowledge (or of any ‘body’ of knowledge) as an object that is available for analysis, though texts associated with that which is often fetishized—mathematics textbooks with mathematical knowledge, for example—are clearly available as empirical objects. I have addressed this issue in Dowling, 1998 and 2009 (c. 8) and in my critique of Bernstein in Dowling (2009 c. 4), so I will not pursue it here, but will retain the pragmatic recontextualisation as serving my present purpose.</w:t>
      </w:r>
    </w:p>
  </w:footnote>
  <w:footnote w:id="19">
    <w:p w:rsidR="003A6292" w:rsidRPr="00541180" w:rsidRDefault="003A6292">
      <w:pPr>
        <w:pStyle w:val="FootnoteText"/>
        <w:rPr>
          <w:lang w:val="en-US"/>
        </w:rPr>
      </w:pPr>
      <w:r>
        <w:rPr>
          <w:rStyle w:val="FootnoteReference"/>
        </w:rPr>
        <w:footnoteRef/>
      </w:r>
      <w:r>
        <w:t xml:space="preserve"> </w:t>
      </w:r>
      <w:r>
        <w:rPr>
          <w:lang w:val="en-US"/>
        </w:rPr>
        <w:t>A necessity that is illustrated</w:t>
      </w:r>
      <w:r w:rsidRPr="005E08C9">
        <w:rPr>
          <w:lang w:val="en-US"/>
        </w:rPr>
        <w:t xml:space="preserve"> </w:t>
      </w:r>
      <w:r>
        <w:rPr>
          <w:lang w:val="en-US"/>
        </w:rPr>
        <w:t>by Livingston (1986) in both school (in his introduction) and in advanced mathematics.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427306"/>
    <w:multiLevelType w:val="hybridMultilevel"/>
    <w:tmpl w:val="15EED0C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47D5864"/>
    <w:multiLevelType w:val="hybridMultilevel"/>
    <w:tmpl w:val="77F8D7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5C8B7787"/>
    <w:multiLevelType w:val="hybridMultilevel"/>
    <w:tmpl w:val="979E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65488"/>
    <w:multiLevelType w:val="multilevel"/>
    <w:tmpl w:val="15EED0CC"/>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5">
    <w:nsid w:val="7FB0696C"/>
    <w:multiLevelType w:val="hybridMultilevel"/>
    <w:tmpl w:val="5C92AC14"/>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pos w:val="sectEnd"/>
    <w:numFmt w:val="decimal"/>
    <w:endnote w:id="-1"/>
    <w:endnote w:id="0"/>
  </w:endnotePr>
  <w:compat>
    <w:useFELayout/>
  </w:compat>
  <w:rsids>
    <w:rsidRoot w:val="006C654D"/>
    <w:rsid w:val="000007AE"/>
    <w:rsid w:val="00001211"/>
    <w:rsid w:val="00017D1D"/>
    <w:rsid w:val="000316AD"/>
    <w:rsid w:val="0004011C"/>
    <w:rsid w:val="000450FB"/>
    <w:rsid w:val="00045415"/>
    <w:rsid w:val="000532C1"/>
    <w:rsid w:val="0005640F"/>
    <w:rsid w:val="00061CFC"/>
    <w:rsid w:val="00070D9C"/>
    <w:rsid w:val="00070FC3"/>
    <w:rsid w:val="00077095"/>
    <w:rsid w:val="00084CAF"/>
    <w:rsid w:val="00093C5D"/>
    <w:rsid w:val="000A06AE"/>
    <w:rsid w:val="000A47D6"/>
    <w:rsid w:val="000B5DAF"/>
    <w:rsid w:val="000B7B76"/>
    <w:rsid w:val="000B7FAD"/>
    <w:rsid w:val="000C1F95"/>
    <w:rsid w:val="000D413E"/>
    <w:rsid w:val="000D4C8E"/>
    <w:rsid w:val="000D6171"/>
    <w:rsid w:val="000E4668"/>
    <w:rsid w:val="000F2FD7"/>
    <w:rsid w:val="001227D0"/>
    <w:rsid w:val="00123E99"/>
    <w:rsid w:val="001350F3"/>
    <w:rsid w:val="0014664D"/>
    <w:rsid w:val="00150F02"/>
    <w:rsid w:val="00160595"/>
    <w:rsid w:val="00163AEB"/>
    <w:rsid w:val="0016750A"/>
    <w:rsid w:val="001742CD"/>
    <w:rsid w:val="00180638"/>
    <w:rsid w:val="00184591"/>
    <w:rsid w:val="00187223"/>
    <w:rsid w:val="00190BAA"/>
    <w:rsid w:val="00190BBB"/>
    <w:rsid w:val="00191E2F"/>
    <w:rsid w:val="001A3AD0"/>
    <w:rsid w:val="001A4353"/>
    <w:rsid w:val="001A6662"/>
    <w:rsid w:val="001B0F25"/>
    <w:rsid w:val="001B2CF7"/>
    <w:rsid w:val="001B7749"/>
    <w:rsid w:val="001C19A4"/>
    <w:rsid w:val="001C357F"/>
    <w:rsid w:val="001C4FCC"/>
    <w:rsid w:val="001D3138"/>
    <w:rsid w:val="001E2E28"/>
    <w:rsid w:val="001E37D2"/>
    <w:rsid w:val="001E4AE0"/>
    <w:rsid w:val="001F163B"/>
    <w:rsid w:val="00202C53"/>
    <w:rsid w:val="00207FA6"/>
    <w:rsid w:val="00210BE6"/>
    <w:rsid w:val="00212FFD"/>
    <w:rsid w:val="00223507"/>
    <w:rsid w:val="00240CAA"/>
    <w:rsid w:val="00245937"/>
    <w:rsid w:val="00246D78"/>
    <w:rsid w:val="00256D6E"/>
    <w:rsid w:val="00261CCA"/>
    <w:rsid w:val="0026582D"/>
    <w:rsid w:val="00272652"/>
    <w:rsid w:val="0028422F"/>
    <w:rsid w:val="00295D28"/>
    <w:rsid w:val="002967D9"/>
    <w:rsid w:val="002A2A8A"/>
    <w:rsid w:val="002B236F"/>
    <w:rsid w:val="002C2FF6"/>
    <w:rsid w:val="002D786F"/>
    <w:rsid w:val="002E2E6E"/>
    <w:rsid w:val="002E73CE"/>
    <w:rsid w:val="002F5F89"/>
    <w:rsid w:val="00307018"/>
    <w:rsid w:val="00307B56"/>
    <w:rsid w:val="00325CA2"/>
    <w:rsid w:val="00331938"/>
    <w:rsid w:val="00335D17"/>
    <w:rsid w:val="00337BF8"/>
    <w:rsid w:val="00340A99"/>
    <w:rsid w:val="00340E23"/>
    <w:rsid w:val="003445B4"/>
    <w:rsid w:val="00353764"/>
    <w:rsid w:val="00353DA5"/>
    <w:rsid w:val="00356078"/>
    <w:rsid w:val="003567BA"/>
    <w:rsid w:val="00364E06"/>
    <w:rsid w:val="0038652B"/>
    <w:rsid w:val="003A1B80"/>
    <w:rsid w:val="003A473A"/>
    <w:rsid w:val="003A6292"/>
    <w:rsid w:val="003B0FBE"/>
    <w:rsid w:val="003B20ED"/>
    <w:rsid w:val="003B4C12"/>
    <w:rsid w:val="003B4FDA"/>
    <w:rsid w:val="003B5159"/>
    <w:rsid w:val="003C3093"/>
    <w:rsid w:val="003D065C"/>
    <w:rsid w:val="003D459A"/>
    <w:rsid w:val="003E1835"/>
    <w:rsid w:val="003E3350"/>
    <w:rsid w:val="003F0B16"/>
    <w:rsid w:val="003F3138"/>
    <w:rsid w:val="004002CB"/>
    <w:rsid w:val="004065B2"/>
    <w:rsid w:val="00410CB3"/>
    <w:rsid w:val="00422D12"/>
    <w:rsid w:val="004244A1"/>
    <w:rsid w:val="004357A9"/>
    <w:rsid w:val="00445851"/>
    <w:rsid w:val="00462A00"/>
    <w:rsid w:val="00470C19"/>
    <w:rsid w:val="0047739C"/>
    <w:rsid w:val="00482D2E"/>
    <w:rsid w:val="00485506"/>
    <w:rsid w:val="0049088A"/>
    <w:rsid w:val="00491400"/>
    <w:rsid w:val="004937CE"/>
    <w:rsid w:val="00496C71"/>
    <w:rsid w:val="004A4D0F"/>
    <w:rsid w:val="004A5230"/>
    <w:rsid w:val="004A67BA"/>
    <w:rsid w:val="004B65A7"/>
    <w:rsid w:val="004C1737"/>
    <w:rsid w:val="004C40EE"/>
    <w:rsid w:val="004C66E2"/>
    <w:rsid w:val="004C7DF7"/>
    <w:rsid w:val="004D221B"/>
    <w:rsid w:val="004D4D8B"/>
    <w:rsid w:val="004D559E"/>
    <w:rsid w:val="004E540D"/>
    <w:rsid w:val="00507531"/>
    <w:rsid w:val="00510560"/>
    <w:rsid w:val="0051078E"/>
    <w:rsid w:val="00510BFB"/>
    <w:rsid w:val="00511E36"/>
    <w:rsid w:val="00514838"/>
    <w:rsid w:val="00524425"/>
    <w:rsid w:val="0052460F"/>
    <w:rsid w:val="00537112"/>
    <w:rsid w:val="00541180"/>
    <w:rsid w:val="00547997"/>
    <w:rsid w:val="0055100F"/>
    <w:rsid w:val="00552971"/>
    <w:rsid w:val="00553C07"/>
    <w:rsid w:val="00566193"/>
    <w:rsid w:val="00566CC7"/>
    <w:rsid w:val="00574E0E"/>
    <w:rsid w:val="005A18F2"/>
    <w:rsid w:val="005A3CEE"/>
    <w:rsid w:val="005B18F9"/>
    <w:rsid w:val="005C21EE"/>
    <w:rsid w:val="005C2A2A"/>
    <w:rsid w:val="005C7C22"/>
    <w:rsid w:val="005D6196"/>
    <w:rsid w:val="005E08C9"/>
    <w:rsid w:val="005E35BF"/>
    <w:rsid w:val="005F4102"/>
    <w:rsid w:val="00604FB5"/>
    <w:rsid w:val="00606650"/>
    <w:rsid w:val="006132EE"/>
    <w:rsid w:val="0061386B"/>
    <w:rsid w:val="00617ED9"/>
    <w:rsid w:val="00624A87"/>
    <w:rsid w:val="00624B79"/>
    <w:rsid w:val="006265E9"/>
    <w:rsid w:val="00632A77"/>
    <w:rsid w:val="00632F1E"/>
    <w:rsid w:val="0064755E"/>
    <w:rsid w:val="0065559E"/>
    <w:rsid w:val="00664691"/>
    <w:rsid w:val="006702A9"/>
    <w:rsid w:val="00681E95"/>
    <w:rsid w:val="006839C4"/>
    <w:rsid w:val="006B2D03"/>
    <w:rsid w:val="006B2D2A"/>
    <w:rsid w:val="006C139F"/>
    <w:rsid w:val="006C1E8D"/>
    <w:rsid w:val="006C55CF"/>
    <w:rsid w:val="006C5D4F"/>
    <w:rsid w:val="006C654D"/>
    <w:rsid w:val="006D3236"/>
    <w:rsid w:val="006D5766"/>
    <w:rsid w:val="006E3196"/>
    <w:rsid w:val="00705656"/>
    <w:rsid w:val="007068EF"/>
    <w:rsid w:val="0071342B"/>
    <w:rsid w:val="00722932"/>
    <w:rsid w:val="00734365"/>
    <w:rsid w:val="007412AE"/>
    <w:rsid w:val="00756D43"/>
    <w:rsid w:val="00763CD8"/>
    <w:rsid w:val="007640DB"/>
    <w:rsid w:val="0076559B"/>
    <w:rsid w:val="00784EA5"/>
    <w:rsid w:val="00791E4E"/>
    <w:rsid w:val="00795347"/>
    <w:rsid w:val="007C4E62"/>
    <w:rsid w:val="007C7EBE"/>
    <w:rsid w:val="007D25A5"/>
    <w:rsid w:val="007D3E22"/>
    <w:rsid w:val="007E3FA4"/>
    <w:rsid w:val="007E46B1"/>
    <w:rsid w:val="007F132E"/>
    <w:rsid w:val="007F6962"/>
    <w:rsid w:val="0080164A"/>
    <w:rsid w:val="00802516"/>
    <w:rsid w:val="00802C16"/>
    <w:rsid w:val="00807C77"/>
    <w:rsid w:val="008111D0"/>
    <w:rsid w:val="008143B4"/>
    <w:rsid w:val="00816B39"/>
    <w:rsid w:val="00822A1D"/>
    <w:rsid w:val="00822ADE"/>
    <w:rsid w:val="00823AE5"/>
    <w:rsid w:val="00837F71"/>
    <w:rsid w:val="00843828"/>
    <w:rsid w:val="00846510"/>
    <w:rsid w:val="00856187"/>
    <w:rsid w:val="00861528"/>
    <w:rsid w:val="00862630"/>
    <w:rsid w:val="008635B1"/>
    <w:rsid w:val="00864CA7"/>
    <w:rsid w:val="008705EA"/>
    <w:rsid w:val="00884ECA"/>
    <w:rsid w:val="00885344"/>
    <w:rsid w:val="0089727E"/>
    <w:rsid w:val="008A18A1"/>
    <w:rsid w:val="008A28C3"/>
    <w:rsid w:val="008A5512"/>
    <w:rsid w:val="008A612C"/>
    <w:rsid w:val="008B3973"/>
    <w:rsid w:val="008B7E09"/>
    <w:rsid w:val="008C321D"/>
    <w:rsid w:val="008D211E"/>
    <w:rsid w:val="008D478E"/>
    <w:rsid w:val="008E35BA"/>
    <w:rsid w:val="008F23EA"/>
    <w:rsid w:val="008F5BB2"/>
    <w:rsid w:val="00912E45"/>
    <w:rsid w:val="00917537"/>
    <w:rsid w:val="00931533"/>
    <w:rsid w:val="00931B18"/>
    <w:rsid w:val="00934D59"/>
    <w:rsid w:val="00940442"/>
    <w:rsid w:val="00954D61"/>
    <w:rsid w:val="00957B72"/>
    <w:rsid w:val="00967152"/>
    <w:rsid w:val="0096735B"/>
    <w:rsid w:val="0097142F"/>
    <w:rsid w:val="0097263B"/>
    <w:rsid w:val="00983284"/>
    <w:rsid w:val="009961E9"/>
    <w:rsid w:val="009A51FF"/>
    <w:rsid w:val="009A7263"/>
    <w:rsid w:val="009B58FF"/>
    <w:rsid w:val="009D7CC8"/>
    <w:rsid w:val="009E38DA"/>
    <w:rsid w:val="009F0AA4"/>
    <w:rsid w:val="00A008DE"/>
    <w:rsid w:val="00A02381"/>
    <w:rsid w:val="00A04D00"/>
    <w:rsid w:val="00A11DEB"/>
    <w:rsid w:val="00A31301"/>
    <w:rsid w:val="00A4025D"/>
    <w:rsid w:val="00A432EB"/>
    <w:rsid w:val="00A43796"/>
    <w:rsid w:val="00A51DCE"/>
    <w:rsid w:val="00A53161"/>
    <w:rsid w:val="00A54D15"/>
    <w:rsid w:val="00A707D1"/>
    <w:rsid w:val="00A8424C"/>
    <w:rsid w:val="00A84A37"/>
    <w:rsid w:val="00A961BB"/>
    <w:rsid w:val="00AA011B"/>
    <w:rsid w:val="00AA236A"/>
    <w:rsid w:val="00AA2B4D"/>
    <w:rsid w:val="00AB5D1A"/>
    <w:rsid w:val="00AD2564"/>
    <w:rsid w:val="00AE116C"/>
    <w:rsid w:val="00AE3769"/>
    <w:rsid w:val="00AF5479"/>
    <w:rsid w:val="00AF659B"/>
    <w:rsid w:val="00B06C8B"/>
    <w:rsid w:val="00B11EEF"/>
    <w:rsid w:val="00B2312A"/>
    <w:rsid w:val="00B240A0"/>
    <w:rsid w:val="00B31C81"/>
    <w:rsid w:val="00B415B5"/>
    <w:rsid w:val="00B45D47"/>
    <w:rsid w:val="00B6359C"/>
    <w:rsid w:val="00B7520D"/>
    <w:rsid w:val="00B77DDB"/>
    <w:rsid w:val="00B77FBF"/>
    <w:rsid w:val="00B80E16"/>
    <w:rsid w:val="00B8516B"/>
    <w:rsid w:val="00B90B54"/>
    <w:rsid w:val="00BA567D"/>
    <w:rsid w:val="00BB2B5F"/>
    <w:rsid w:val="00BB4A3E"/>
    <w:rsid w:val="00BB4B8E"/>
    <w:rsid w:val="00BB58B1"/>
    <w:rsid w:val="00BC1426"/>
    <w:rsid w:val="00BC4860"/>
    <w:rsid w:val="00BC68FA"/>
    <w:rsid w:val="00BD448C"/>
    <w:rsid w:val="00BD477F"/>
    <w:rsid w:val="00BE37E5"/>
    <w:rsid w:val="00BF13D7"/>
    <w:rsid w:val="00BF57F3"/>
    <w:rsid w:val="00C101CB"/>
    <w:rsid w:val="00C10560"/>
    <w:rsid w:val="00C3523E"/>
    <w:rsid w:val="00C359AA"/>
    <w:rsid w:val="00C37517"/>
    <w:rsid w:val="00C41D62"/>
    <w:rsid w:val="00C47C4A"/>
    <w:rsid w:val="00C53AF5"/>
    <w:rsid w:val="00C62730"/>
    <w:rsid w:val="00C7222A"/>
    <w:rsid w:val="00C72265"/>
    <w:rsid w:val="00C72CAD"/>
    <w:rsid w:val="00C75D81"/>
    <w:rsid w:val="00C870A4"/>
    <w:rsid w:val="00C947BA"/>
    <w:rsid w:val="00CA193C"/>
    <w:rsid w:val="00CA3A15"/>
    <w:rsid w:val="00CA3EAA"/>
    <w:rsid w:val="00CB2465"/>
    <w:rsid w:val="00CB295C"/>
    <w:rsid w:val="00CB314A"/>
    <w:rsid w:val="00CC7ABE"/>
    <w:rsid w:val="00CD4082"/>
    <w:rsid w:val="00CD7754"/>
    <w:rsid w:val="00CE2D37"/>
    <w:rsid w:val="00CE4C99"/>
    <w:rsid w:val="00CE5D30"/>
    <w:rsid w:val="00CF0847"/>
    <w:rsid w:val="00CF3C64"/>
    <w:rsid w:val="00D22CF9"/>
    <w:rsid w:val="00D27CE3"/>
    <w:rsid w:val="00D31486"/>
    <w:rsid w:val="00D35467"/>
    <w:rsid w:val="00D374ED"/>
    <w:rsid w:val="00D40FDD"/>
    <w:rsid w:val="00D4160A"/>
    <w:rsid w:val="00D4283C"/>
    <w:rsid w:val="00D57234"/>
    <w:rsid w:val="00D6334A"/>
    <w:rsid w:val="00D655F4"/>
    <w:rsid w:val="00D7148D"/>
    <w:rsid w:val="00D72E45"/>
    <w:rsid w:val="00D81328"/>
    <w:rsid w:val="00D81A79"/>
    <w:rsid w:val="00D85868"/>
    <w:rsid w:val="00D86955"/>
    <w:rsid w:val="00D96957"/>
    <w:rsid w:val="00DA60FD"/>
    <w:rsid w:val="00DB29E9"/>
    <w:rsid w:val="00DC7E51"/>
    <w:rsid w:val="00DE715F"/>
    <w:rsid w:val="00DF1765"/>
    <w:rsid w:val="00E05C5F"/>
    <w:rsid w:val="00E23135"/>
    <w:rsid w:val="00E236B9"/>
    <w:rsid w:val="00E27B23"/>
    <w:rsid w:val="00E374E5"/>
    <w:rsid w:val="00E41E91"/>
    <w:rsid w:val="00E45D02"/>
    <w:rsid w:val="00E53622"/>
    <w:rsid w:val="00E600C8"/>
    <w:rsid w:val="00E6352D"/>
    <w:rsid w:val="00E81F81"/>
    <w:rsid w:val="00E830BB"/>
    <w:rsid w:val="00E90D5E"/>
    <w:rsid w:val="00EC4488"/>
    <w:rsid w:val="00ED59EB"/>
    <w:rsid w:val="00EE100F"/>
    <w:rsid w:val="00EF164C"/>
    <w:rsid w:val="00EF2B5A"/>
    <w:rsid w:val="00EF4490"/>
    <w:rsid w:val="00EF6F61"/>
    <w:rsid w:val="00F06EC2"/>
    <w:rsid w:val="00F1218B"/>
    <w:rsid w:val="00F12A76"/>
    <w:rsid w:val="00F200C2"/>
    <w:rsid w:val="00F20DB8"/>
    <w:rsid w:val="00F2310D"/>
    <w:rsid w:val="00F34201"/>
    <w:rsid w:val="00F427CA"/>
    <w:rsid w:val="00F5154B"/>
    <w:rsid w:val="00F848B6"/>
    <w:rsid w:val="00FA3407"/>
    <w:rsid w:val="00FA43EF"/>
    <w:rsid w:val="00FA48BA"/>
    <w:rsid w:val="00FC42FE"/>
    <w:rsid w:val="00FD06AF"/>
    <w:rsid w:val="00FD79F3"/>
    <w:rsid w:val="00FD7F1D"/>
    <w:rsid w:val="00FE1816"/>
    <w:rsid w:val="00FE1E01"/>
    <w:rsid w:val="00FE2DC2"/>
    <w:rsid w:val="00FE633C"/>
    <w:rsid w:val="00FF6E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4D"/>
    <w:pPr>
      <w:jc w:val="both"/>
    </w:pPr>
    <w:rPr>
      <w:rFonts w:ascii="Times New Roman" w:hAnsi="Times New Roman"/>
    </w:rPr>
  </w:style>
  <w:style w:type="paragraph" w:styleId="Heading1">
    <w:name w:val="heading 1"/>
    <w:basedOn w:val="Normal"/>
    <w:next w:val="Normal"/>
    <w:link w:val="Heading1Char"/>
    <w:uiPriority w:val="9"/>
    <w:qFormat/>
    <w:rsid w:val="003560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654D"/>
    <w:pPr>
      <w:tabs>
        <w:tab w:val="center" w:pos="4320"/>
        <w:tab w:val="right" w:pos="8640"/>
      </w:tabs>
    </w:pPr>
  </w:style>
  <w:style w:type="character" w:customStyle="1" w:styleId="FooterChar">
    <w:name w:val="Footer Char"/>
    <w:basedOn w:val="DefaultParagraphFont"/>
    <w:link w:val="Footer"/>
    <w:uiPriority w:val="99"/>
    <w:rsid w:val="006C654D"/>
  </w:style>
  <w:style w:type="character" w:styleId="PageNumber">
    <w:name w:val="page number"/>
    <w:basedOn w:val="DefaultParagraphFont"/>
    <w:uiPriority w:val="99"/>
    <w:semiHidden/>
    <w:unhideWhenUsed/>
    <w:rsid w:val="006C654D"/>
  </w:style>
  <w:style w:type="paragraph" w:styleId="Title">
    <w:name w:val="Title"/>
    <w:basedOn w:val="Normal"/>
    <w:next w:val="Normal"/>
    <w:link w:val="TitleChar"/>
    <w:uiPriority w:val="10"/>
    <w:qFormat/>
    <w:rsid w:val="000F2F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6C654D"/>
    <w:pPr>
      <w:ind w:left="567" w:right="567"/>
    </w:pPr>
    <w:rPr>
      <w:iCs/>
      <w:color w:val="000000" w:themeColor="text1"/>
      <w:sz w:val="20"/>
    </w:rPr>
  </w:style>
  <w:style w:type="character" w:customStyle="1" w:styleId="QuoteChar">
    <w:name w:val="Quote Char"/>
    <w:basedOn w:val="DefaultParagraphFont"/>
    <w:link w:val="Quote"/>
    <w:uiPriority w:val="29"/>
    <w:rsid w:val="006C654D"/>
    <w:rPr>
      <w:rFonts w:ascii="Times New Roman" w:hAnsi="Times New Roman"/>
      <w:iCs/>
      <w:color w:val="000000" w:themeColor="text1"/>
      <w:sz w:val="20"/>
    </w:rPr>
  </w:style>
  <w:style w:type="character" w:customStyle="1" w:styleId="TitleChar">
    <w:name w:val="Title Char"/>
    <w:basedOn w:val="DefaultParagraphFont"/>
    <w:link w:val="Title"/>
    <w:uiPriority w:val="10"/>
    <w:rsid w:val="000F2FD7"/>
    <w:rPr>
      <w:rFonts w:asciiTheme="majorHAnsi" w:eastAsiaTheme="majorEastAsia" w:hAnsiTheme="majorHAnsi" w:cstheme="majorBidi"/>
      <w:color w:val="17365D" w:themeColor="text2" w:themeShade="BF"/>
      <w:spacing w:val="5"/>
      <w:kern w:val="28"/>
      <w:sz w:val="52"/>
      <w:szCs w:val="52"/>
    </w:rPr>
  </w:style>
  <w:style w:type="paragraph" w:customStyle="1" w:styleId="SenseQuote">
    <w:name w:val="SenseQuote"/>
    <w:basedOn w:val="Normal"/>
    <w:rsid w:val="00F1218B"/>
    <w:pPr>
      <w:tabs>
        <w:tab w:val="left" w:pos="227"/>
        <w:tab w:val="left" w:pos="454"/>
      </w:tabs>
      <w:spacing w:before="120" w:after="120"/>
      <w:ind w:left="227" w:right="227"/>
    </w:pPr>
    <w:rPr>
      <w:rFonts w:eastAsia="ＭＳ 明朝" w:cs="Times New Roman"/>
      <w:sz w:val="20"/>
      <w:szCs w:val="20"/>
      <w:lang w:val="en-AU" w:eastAsia="en-GB"/>
    </w:rPr>
  </w:style>
  <w:style w:type="character" w:styleId="FootnoteReference">
    <w:name w:val="footnote reference"/>
    <w:basedOn w:val="DefaultParagraphFont"/>
    <w:semiHidden/>
    <w:rsid w:val="00884ECA"/>
    <w:rPr>
      <w:rFonts w:ascii="Times New Roman" w:hAnsi="Times New Roman" w:cs="Times New Roman"/>
      <w:spacing w:val="0"/>
      <w:position w:val="0"/>
      <w:sz w:val="20"/>
      <w:vertAlign w:val="superscript"/>
    </w:rPr>
  </w:style>
  <w:style w:type="character" w:styleId="Hyperlink">
    <w:name w:val="Hyperlink"/>
    <w:basedOn w:val="DefaultParagraphFont"/>
    <w:uiPriority w:val="99"/>
    <w:unhideWhenUsed/>
    <w:rsid w:val="00D7148D"/>
    <w:rPr>
      <w:color w:val="0000FF" w:themeColor="hyperlink"/>
      <w:u w:val="single"/>
    </w:rPr>
  </w:style>
  <w:style w:type="paragraph" w:styleId="ListParagraph">
    <w:name w:val="List Paragraph"/>
    <w:basedOn w:val="Normal"/>
    <w:uiPriority w:val="34"/>
    <w:qFormat/>
    <w:rsid w:val="00B415B5"/>
    <w:pPr>
      <w:ind w:left="720"/>
      <w:contextualSpacing/>
    </w:pPr>
  </w:style>
  <w:style w:type="paragraph" w:styleId="EndnoteText">
    <w:name w:val="endnote text"/>
    <w:basedOn w:val="Normal"/>
    <w:link w:val="EndnoteTextChar"/>
    <w:uiPriority w:val="99"/>
    <w:unhideWhenUsed/>
    <w:rsid w:val="00514838"/>
    <w:rPr>
      <w:sz w:val="20"/>
    </w:rPr>
  </w:style>
  <w:style w:type="character" w:customStyle="1" w:styleId="EndnoteTextChar">
    <w:name w:val="Endnote Text Char"/>
    <w:basedOn w:val="DefaultParagraphFont"/>
    <w:link w:val="EndnoteText"/>
    <w:uiPriority w:val="99"/>
    <w:rsid w:val="00514838"/>
    <w:rPr>
      <w:rFonts w:ascii="Times New Roman" w:hAnsi="Times New Roman"/>
      <w:sz w:val="20"/>
    </w:rPr>
  </w:style>
  <w:style w:type="character" w:styleId="EndnoteReference">
    <w:name w:val="endnote reference"/>
    <w:basedOn w:val="DefaultParagraphFont"/>
    <w:uiPriority w:val="99"/>
    <w:unhideWhenUsed/>
    <w:rsid w:val="00B06C8B"/>
    <w:rPr>
      <w:sz w:val="20"/>
      <w:vertAlign w:val="superscript"/>
    </w:rPr>
  </w:style>
  <w:style w:type="table" w:styleId="TableGrid">
    <w:name w:val="Table Grid"/>
    <w:basedOn w:val="TableNormal"/>
    <w:uiPriority w:val="59"/>
    <w:rsid w:val="003B4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8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8A1"/>
    <w:rPr>
      <w:rFonts w:ascii="Lucida Grande" w:hAnsi="Lucida Grande" w:cs="Lucida Grande"/>
      <w:sz w:val="18"/>
      <w:szCs w:val="18"/>
    </w:rPr>
  </w:style>
  <w:style w:type="paragraph" w:styleId="Header">
    <w:name w:val="header"/>
    <w:basedOn w:val="Normal"/>
    <w:link w:val="HeaderChar"/>
    <w:uiPriority w:val="99"/>
    <w:unhideWhenUsed/>
    <w:rsid w:val="009F0AA4"/>
    <w:pPr>
      <w:tabs>
        <w:tab w:val="center" w:pos="4320"/>
        <w:tab w:val="right" w:pos="8640"/>
      </w:tabs>
    </w:pPr>
  </w:style>
  <w:style w:type="character" w:customStyle="1" w:styleId="HeaderChar">
    <w:name w:val="Header Char"/>
    <w:basedOn w:val="DefaultParagraphFont"/>
    <w:link w:val="Header"/>
    <w:uiPriority w:val="99"/>
    <w:rsid w:val="009F0AA4"/>
    <w:rPr>
      <w:rFonts w:ascii="Times New Roman" w:hAnsi="Times New Roman"/>
    </w:rPr>
  </w:style>
  <w:style w:type="character" w:customStyle="1" w:styleId="Heading1Char">
    <w:name w:val="Heading 1 Char"/>
    <w:basedOn w:val="DefaultParagraphFont"/>
    <w:link w:val="Heading1"/>
    <w:uiPriority w:val="9"/>
    <w:rsid w:val="00356078"/>
    <w:rPr>
      <w:rFonts w:asciiTheme="majorHAnsi" w:eastAsiaTheme="majorEastAsia" w:hAnsiTheme="majorHAnsi" w:cstheme="majorBidi"/>
      <w:b/>
      <w:bCs/>
      <w:color w:val="345A8A" w:themeColor="accent1" w:themeShade="B5"/>
      <w:sz w:val="32"/>
      <w:szCs w:val="32"/>
    </w:rPr>
  </w:style>
  <w:style w:type="paragraph" w:customStyle="1" w:styleId="References">
    <w:name w:val="References"/>
    <w:basedOn w:val="Normal"/>
    <w:rsid w:val="00FA48BA"/>
    <w:pPr>
      <w:spacing w:after="200" w:line="276" w:lineRule="auto"/>
      <w:ind w:left="284" w:hanging="284"/>
      <w:jc w:val="left"/>
    </w:pPr>
    <w:rPr>
      <w:rFonts w:ascii="Cambria" w:eastAsia="SimSun" w:hAnsi="Cambria" w:cs="Times New Roman"/>
      <w:bCs/>
      <w:sz w:val="22"/>
      <w:szCs w:val="28"/>
      <w:lang w:val="en-US" w:bidi="en-US"/>
    </w:rPr>
  </w:style>
  <w:style w:type="paragraph" w:styleId="FootnoteText">
    <w:name w:val="footnote text"/>
    <w:basedOn w:val="Normal"/>
    <w:link w:val="FootnoteTextChar"/>
    <w:uiPriority w:val="99"/>
    <w:unhideWhenUsed/>
    <w:rsid w:val="00187223"/>
    <w:rPr>
      <w:sz w:val="20"/>
    </w:rPr>
  </w:style>
  <w:style w:type="character" w:customStyle="1" w:styleId="FootnoteTextChar">
    <w:name w:val="Footnote Text Char"/>
    <w:basedOn w:val="DefaultParagraphFont"/>
    <w:link w:val="FootnoteText"/>
    <w:uiPriority w:val="99"/>
    <w:rsid w:val="00187223"/>
    <w:rPr>
      <w:rFonts w:ascii="Times New Roman" w:hAnsi="Times New Roman"/>
      <w:sz w:val="20"/>
    </w:rPr>
  </w:style>
  <w:style w:type="character" w:styleId="FollowedHyperlink">
    <w:name w:val="FollowedHyperlink"/>
    <w:basedOn w:val="DefaultParagraphFont"/>
    <w:uiPriority w:val="99"/>
    <w:semiHidden/>
    <w:unhideWhenUsed/>
    <w:rsid w:val="00B90B5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4D"/>
    <w:pPr>
      <w:jc w:val="both"/>
    </w:pPr>
    <w:rPr>
      <w:rFonts w:ascii="Times New Roman" w:hAnsi="Times New Roman"/>
    </w:rPr>
  </w:style>
  <w:style w:type="paragraph" w:styleId="Heading1">
    <w:name w:val="heading 1"/>
    <w:basedOn w:val="Normal"/>
    <w:next w:val="Normal"/>
    <w:link w:val="Heading1Char"/>
    <w:uiPriority w:val="9"/>
    <w:qFormat/>
    <w:rsid w:val="003560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654D"/>
    <w:pPr>
      <w:tabs>
        <w:tab w:val="center" w:pos="4320"/>
        <w:tab w:val="right" w:pos="8640"/>
      </w:tabs>
    </w:pPr>
  </w:style>
  <w:style w:type="character" w:customStyle="1" w:styleId="FooterChar">
    <w:name w:val="Footer Char"/>
    <w:basedOn w:val="DefaultParagraphFont"/>
    <w:link w:val="Footer"/>
    <w:uiPriority w:val="99"/>
    <w:rsid w:val="006C654D"/>
  </w:style>
  <w:style w:type="character" w:styleId="PageNumber">
    <w:name w:val="page number"/>
    <w:basedOn w:val="DefaultParagraphFont"/>
    <w:uiPriority w:val="99"/>
    <w:semiHidden/>
    <w:unhideWhenUsed/>
    <w:rsid w:val="006C654D"/>
  </w:style>
  <w:style w:type="paragraph" w:styleId="Title">
    <w:name w:val="Title"/>
    <w:basedOn w:val="Normal"/>
    <w:next w:val="Normal"/>
    <w:link w:val="TitleChar"/>
    <w:uiPriority w:val="10"/>
    <w:qFormat/>
    <w:rsid w:val="000F2F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6C654D"/>
    <w:pPr>
      <w:ind w:left="567" w:right="567"/>
    </w:pPr>
    <w:rPr>
      <w:iCs/>
      <w:color w:val="000000" w:themeColor="text1"/>
      <w:sz w:val="20"/>
    </w:rPr>
  </w:style>
  <w:style w:type="character" w:customStyle="1" w:styleId="QuoteChar">
    <w:name w:val="Quote Char"/>
    <w:basedOn w:val="DefaultParagraphFont"/>
    <w:link w:val="Quote"/>
    <w:uiPriority w:val="29"/>
    <w:rsid w:val="006C654D"/>
    <w:rPr>
      <w:rFonts w:ascii="Times New Roman" w:hAnsi="Times New Roman"/>
      <w:iCs/>
      <w:color w:val="000000" w:themeColor="text1"/>
      <w:sz w:val="20"/>
    </w:rPr>
  </w:style>
  <w:style w:type="character" w:customStyle="1" w:styleId="TitleChar">
    <w:name w:val="Title Char"/>
    <w:basedOn w:val="DefaultParagraphFont"/>
    <w:link w:val="Title"/>
    <w:uiPriority w:val="10"/>
    <w:rsid w:val="000F2FD7"/>
    <w:rPr>
      <w:rFonts w:asciiTheme="majorHAnsi" w:eastAsiaTheme="majorEastAsia" w:hAnsiTheme="majorHAnsi" w:cstheme="majorBidi"/>
      <w:color w:val="17365D" w:themeColor="text2" w:themeShade="BF"/>
      <w:spacing w:val="5"/>
      <w:kern w:val="28"/>
      <w:sz w:val="52"/>
      <w:szCs w:val="52"/>
    </w:rPr>
  </w:style>
  <w:style w:type="paragraph" w:customStyle="1" w:styleId="SenseQuote">
    <w:name w:val="SenseQuote"/>
    <w:basedOn w:val="Normal"/>
    <w:rsid w:val="00F1218B"/>
    <w:pPr>
      <w:tabs>
        <w:tab w:val="left" w:pos="227"/>
        <w:tab w:val="left" w:pos="454"/>
      </w:tabs>
      <w:spacing w:before="120" w:after="120"/>
      <w:ind w:left="227" w:right="227"/>
    </w:pPr>
    <w:rPr>
      <w:rFonts w:eastAsia="ＭＳ 明朝" w:cs="Times New Roman"/>
      <w:sz w:val="20"/>
      <w:szCs w:val="20"/>
      <w:lang w:val="en-AU" w:eastAsia="en-GB"/>
    </w:rPr>
  </w:style>
  <w:style w:type="character" w:styleId="FootnoteReference">
    <w:name w:val="footnote reference"/>
    <w:basedOn w:val="DefaultParagraphFont"/>
    <w:semiHidden/>
    <w:rsid w:val="00884ECA"/>
    <w:rPr>
      <w:rFonts w:ascii="Times New Roman" w:hAnsi="Times New Roman" w:cs="Times New Roman"/>
      <w:spacing w:val="0"/>
      <w:position w:val="0"/>
      <w:sz w:val="20"/>
      <w:vertAlign w:val="superscript"/>
    </w:rPr>
  </w:style>
  <w:style w:type="character" w:styleId="Hyperlink">
    <w:name w:val="Hyperlink"/>
    <w:basedOn w:val="DefaultParagraphFont"/>
    <w:uiPriority w:val="99"/>
    <w:unhideWhenUsed/>
    <w:rsid w:val="00D7148D"/>
    <w:rPr>
      <w:color w:val="0000FF" w:themeColor="hyperlink"/>
      <w:u w:val="single"/>
    </w:rPr>
  </w:style>
  <w:style w:type="paragraph" w:styleId="ListParagraph">
    <w:name w:val="List Paragraph"/>
    <w:basedOn w:val="Normal"/>
    <w:uiPriority w:val="34"/>
    <w:qFormat/>
    <w:rsid w:val="00B415B5"/>
    <w:pPr>
      <w:ind w:left="720"/>
      <w:contextualSpacing/>
    </w:pPr>
  </w:style>
  <w:style w:type="paragraph" w:styleId="EndnoteText">
    <w:name w:val="endnote text"/>
    <w:basedOn w:val="Normal"/>
    <w:link w:val="EndnoteTextChar"/>
    <w:uiPriority w:val="99"/>
    <w:unhideWhenUsed/>
    <w:rsid w:val="00514838"/>
    <w:rPr>
      <w:sz w:val="20"/>
    </w:rPr>
  </w:style>
  <w:style w:type="character" w:customStyle="1" w:styleId="EndnoteTextChar">
    <w:name w:val="Endnote Text Char"/>
    <w:basedOn w:val="DefaultParagraphFont"/>
    <w:link w:val="EndnoteText"/>
    <w:uiPriority w:val="99"/>
    <w:rsid w:val="00514838"/>
    <w:rPr>
      <w:rFonts w:ascii="Times New Roman" w:hAnsi="Times New Roman"/>
      <w:sz w:val="20"/>
    </w:rPr>
  </w:style>
  <w:style w:type="character" w:styleId="EndnoteReference">
    <w:name w:val="endnote reference"/>
    <w:basedOn w:val="DefaultParagraphFont"/>
    <w:uiPriority w:val="99"/>
    <w:unhideWhenUsed/>
    <w:rsid w:val="00B06C8B"/>
    <w:rPr>
      <w:sz w:val="20"/>
      <w:vertAlign w:val="superscript"/>
    </w:rPr>
  </w:style>
  <w:style w:type="table" w:styleId="TableGrid">
    <w:name w:val="Table Grid"/>
    <w:basedOn w:val="TableNormal"/>
    <w:uiPriority w:val="59"/>
    <w:rsid w:val="003B4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18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8A1"/>
    <w:rPr>
      <w:rFonts w:ascii="Lucida Grande" w:hAnsi="Lucida Grande" w:cs="Lucida Grande"/>
      <w:sz w:val="18"/>
      <w:szCs w:val="18"/>
    </w:rPr>
  </w:style>
  <w:style w:type="paragraph" w:styleId="Header">
    <w:name w:val="header"/>
    <w:basedOn w:val="Normal"/>
    <w:link w:val="HeaderChar"/>
    <w:uiPriority w:val="99"/>
    <w:unhideWhenUsed/>
    <w:rsid w:val="009F0AA4"/>
    <w:pPr>
      <w:tabs>
        <w:tab w:val="center" w:pos="4320"/>
        <w:tab w:val="right" w:pos="8640"/>
      </w:tabs>
    </w:pPr>
  </w:style>
  <w:style w:type="character" w:customStyle="1" w:styleId="HeaderChar">
    <w:name w:val="Header Char"/>
    <w:basedOn w:val="DefaultParagraphFont"/>
    <w:link w:val="Header"/>
    <w:uiPriority w:val="99"/>
    <w:rsid w:val="009F0AA4"/>
    <w:rPr>
      <w:rFonts w:ascii="Times New Roman" w:hAnsi="Times New Roman"/>
    </w:rPr>
  </w:style>
  <w:style w:type="character" w:customStyle="1" w:styleId="Heading1Char">
    <w:name w:val="Heading 1 Char"/>
    <w:basedOn w:val="DefaultParagraphFont"/>
    <w:link w:val="Heading1"/>
    <w:uiPriority w:val="9"/>
    <w:rsid w:val="00356078"/>
    <w:rPr>
      <w:rFonts w:asciiTheme="majorHAnsi" w:eastAsiaTheme="majorEastAsia" w:hAnsiTheme="majorHAnsi" w:cstheme="majorBidi"/>
      <w:b/>
      <w:bCs/>
      <w:color w:val="345A8A" w:themeColor="accent1" w:themeShade="B5"/>
      <w:sz w:val="32"/>
      <w:szCs w:val="32"/>
    </w:rPr>
  </w:style>
  <w:style w:type="paragraph" w:customStyle="1" w:styleId="References">
    <w:name w:val="References"/>
    <w:basedOn w:val="Normal"/>
    <w:rsid w:val="00FA48BA"/>
    <w:pPr>
      <w:spacing w:after="200" w:line="276" w:lineRule="auto"/>
      <w:ind w:left="284" w:hanging="284"/>
      <w:jc w:val="left"/>
    </w:pPr>
    <w:rPr>
      <w:rFonts w:ascii="Cambria" w:eastAsia="SimSun" w:hAnsi="Cambria" w:cs="Times New Roman"/>
      <w:bCs/>
      <w:sz w:val="22"/>
      <w:szCs w:val="28"/>
      <w:lang w:val="en-US" w:bidi="en-US"/>
    </w:rPr>
  </w:style>
  <w:style w:type="paragraph" w:styleId="FootnoteText">
    <w:name w:val="footnote text"/>
    <w:basedOn w:val="Normal"/>
    <w:link w:val="FootnoteTextChar"/>
    <w:uiPriority w:val="99"/>
    <w:unhideWhenUsed/>
    <w:rsid w:val="00187223"/>
    <w:rPr>
      <w:sz w:val="20"/>
    </w:rPr>
  </w:style>
  <w:style w:type="character" w:customStyle="1" w:styleId="FootnoteTextChar">
    <w:name w:val="Footnote Text Char"/>
    <w:basedOn w:val="DefaultParagraphFont"/>
    <w:link w:val="FootnoteText"/>
    <w:uiPriority w:val="99"/>
    <w:rsid w:val="00187223"/>
    <w:rPr>
      <w:rFonts w:ascii="Times New Roman" w:hAnsi="Times New Roman"/>
      <w:sz w:val="20"/>
    </w:rPr>
  </w:style>
  <w:style w:type="character" w:styleId="FollowedHyperlink">
    <w:name w:val="FollowedHyperlink"/>
    <w:basedOn w:val="DefaultParagraphFont"/>
    <w:uiPriority w:val="99"/>
    <w:semiHidden/>
    <w:unhideWhenUsed/>
    <w:rsid w:val="00B90B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owling@ioe.ac.uk" TargetMode="External"/><Relationship Id="rId12" Type="http://schemas.openxmlformats.org/officeDocument/2006/relationships/image" Target="media/image5.png"/><Relationship Id="rId17" Type="http://schemas.openxmlformats.org/officeDocument/2006/relationships/hyperlink" Target="http://www.pauldowling.me" TargetMode="External"/><Relationship Id="rId2" Type="http://schemas.openxmlformats.org/officeDocument/2006/relationships/styles" Target="styles.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link.springer.com/article/10.1007/s13394-013-0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9288</Words>
  <Characters>52948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Dowling</dc:creator>
  <cp:lastModifiedBy>Paul</cp:lastModifiedBy>
  <cp:revision>3</cp:revision>
  <cp:lastPrinted>2013-05-15T10:00:00Z</cp:lastPrinted>
  <dcterms:created xsi:type="dcterms:W3CDTF">2015-07-10T09:50:00Z</dcterms:created>
  <dcterms:modified xsi:type="dcterms:W3CDTF">2015-07-10T09:58:00Z</dcterms:modified>
</cp:coreProperties>
</file>